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950A71" w:rsidP="003D2258">
      <w:pPr>
        <w:pStyle w:val="a5"/>
        <w:rPr>
          <w:rFonts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9B21B3" wp14:editId="6068B34E">
            <wp:extent cx="990600" cy="1390650"/>
            <wp:effectExtent l="0" t="0" r="0" b="0"/>
            <wp:docPr id="2" name="Рисунок 2" descr="I:\Маркетинговые коммуникации\Трубный дивизион\Фирменный стиль\Фирменный стиль_2016_BBDO\логотипы, пиктограммы, носители\chtpz_eng_logo_agr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:\Маркетинговые коммуникации\Трубный дивизион\Фирменный стиль\Фирменный стиль_2016_BBDO\логотипы, пиктограммы, носители\chtpz_eng_logo_agre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7" b="13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  <w:r w:rsidR="009C5666">
        <w:rPr>
          <w:rFonts w:cs="Times New Roman"/>
          <w:b/>
          <w:bCs/>
          <w:sz w:val="24"/>
          <w:szCs w:val="24"/>
          <w:lang w:val="en-US"/>
        </w:rPr>
        <w:tab/>
      </w:r>
    </w:p>
    <w:p w:rsidR="00762EEB" w:rsidRPr="00A374E8" w:rsidRDefault="000960B6" w:rsidP="0087020C">
      <w:pPr>
        <w:pStyle w:val="a5"/>
        <w:jc w:val="right"/>
        <w:rPr>
          <w:rFonts w:cs="Times New Roman"/>
          <w:b/>
          <w:bCs/>
          <w:color w:val="FF0000"/>
          <w:sz w:val="24"/>
          <w:szCs w:val="24"/>
          <w:u w:val="single"/>
        </w:rPr>
      </w:pPr>
    </w:p>
    <w:p w:rsidR="004066FC" w:rsidRPr="009C5666" w:rsidRDefault="00A374E8" w:rsidP="009C5666">
      <w:pPr>
        <w:pStyle w:val="a5"/>
        <w:rPr>
          <w:b/>
          <w:bCs/>
          <w:sz w:val="24"/>
          <w:szCs w:val="24"/>
          <w:lang w:val="en-GB"/>
        </w:rPr>
      </w:pPr>
      <w:r w:rsidRPr="00A374E8">
        <w:rPr>
          <w:b/>
          <w:bCs/>
          <w:sz w:val="24"/>
          <w:szCs w:val="24"/>
          <w:lang w:val="en-GB"/>
        </w:rPr>
        <w:t>March</w:t>
      </w:r>
      <w:r w:rsidR="00C06E7F">
        <w:rPr>
          <w:b/>
          <w:bCs/>
          <w:sz w:val="24"/>
          <w:szCs w:val="24"/>
          <w:lang w:val="en-US"/>
        </w:rPr>
        <w:t xml:space="preserve"> </w:t>
      </w:r>
      <w:r w:rsidR="00C06E7F" w:rsidRPr="008B3815">
        <w:rPr>
          <w:b/>
          <w:bCs/>
          <w:sz w:val="24"/>
          <w:szCs w:val="24"/>
          <w:lang w:val="en-US"/>
        </w:rPr>
        <w:t>15</w:t>
      </w:r>
      <w:r w:rsidRPr="00C06E7F">
        <w:rPr>
          <w:b/>
          <w:bCs/>
          <w:sz w:val="24"/>
          <w:szCs w:val="24"/>
          <w:lang w:val="en-US"/>
        </w:rPr>
        <w:t>, 2017</w:t>
      </w:r>
      <w:r w:rsidR="009C5666" w:rsidRPr="009C5666">
        <w:rPr>
          <w:b/>
          <w:bCs/>
          <w:sz w:val="24"/>
          <w:szCs w:val="24"/>
          <w:lang w:val="en-GB"/>
        </w:rPr>
        <w:t xml:space="preserve">    </w:t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</w:r>
      <w:r w:rsidR="009C5666" w:rsidRPr="009C5666">
        <w:rPr>
          <w:b/>
          <w:bCs/>
          <w:sz w:val="24"/>
          <w:szCs w:val="24"/>
          <w:lang w:val="en-GB"/>
        </w:rPr>
        <w:tab/>
        <w:t xml:space="preserve">       </w:t>
      </w:r>
      <w:r w:rsidR="009C5666" w:rsidRPr="009C5666">
        <w:rPr>
          <w:b/>
          <w:bCs/>
          <w:sz w:val="24"/>
          <w:szCs w:val="24"/>
          <w:lang w:val="en-GB"/>
        </w:rPr>
        <w:tab/>
        <w:t xml:space="preserve">      </w:t>
      </w:r>
      <w:r w:rsidR="00FC7C2B">
        <w:rPr>
          <w:b/>
          <w:bCs/>
          <w:sz w:val="24"/>
          <w:szCs w:val="24"/>
          <w:lang w:val="en-GB"/>
        </w:rPr>
        <w:t xml:space="preserve">     </w:t>
      </w:r>
      <w:r w:rsidR="009C5666" w:rsidRPr="009C5666">
        <w:rPr>
          <w:b/>
          <w:bCs/>
          <w:sz w:val="24"/>
          <w:szCs w:val="24"/>
          <w:lang w:val="en-GB"/>
        </w:rPr>
        <w:t xml:space="preserve">   PRESS RELEASE</w:t>
      </w:r>
    </w:p>
    <w:p w:rsidR="005F6250" w:rsidRPr="000960B6" w:rsidRDefault="005F6250" w:rsidP="005F6250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B3815" w:rsidRPr="000960B6" w:rsidRDefault="008B3815" w:rsidP="005F6250">
      <w:pPr>
        <w:jc w:val="both"/>
        <w:rPr>
          <w:rFonts w:cs="Arial"/>
          <w:i/>
          <w:iCs/>
          <w:lang w:val="en-US"/>
        </w:rPr>
      </w:pPr>
    </w:p>
    <w:p w:rsidR="00C06E7F" w:rsidRPr="00C06E7F" w:rsidRDefault="00C06E7F" w:rsidP="00C06E7F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C06E7F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ChelPipe</w:t>
      </w:r>
      <w:proofErr w:type="spellEnd"/>
      <w:r w:rsidRPr="00C06E7F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Group delivers large diameter pipes to Africa for the first time</w:t>
      </w:r>
    </w:p>
    <w:p w:rsidR="00C06E7F" w:rsidRPr="00C06E7F" w:rsidRDefault="00C06E7F" w:rsidP="00C06E7F">
      <w:pPr>
        <w:shd w:val="clear" w:color="auto" w:fill="FFFFFF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:rsidR="00C06E7F" w:rsidRPr="00C06E7F" w:rsidRDefault="00C06E7F" w:rsidP="00C06E7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proofErr w:type="spellStart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 Group has made the first delivery of large diameter pipes (LDP) to the African continent. The company delivered over 2,000 meters of LDP for the implementation of the Ain </w:t>
      </w:r>
      <w:proofErr w:type="spellStart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Sukhna</w:t>
      </w:r>
      <w:proofErr w:type="spellEnd"/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 Product Hub liquefied gas transportation and storage project in Egypt. Pipes will be laid along the marine terminal to transport gas from tankers to the hub.</w:t>
      </w:r>
    </w:p>
    <w:p w:rsidR="00C06E7F" w:rsidRPr="00C06E7F" w:rsidRDefault="00C06E7F" w:rsidP="00C06E7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The batch of grade B steel pipes with a diameter of 711.2 mm and wall thickness of 12.7 mm was produced at the </w:t>
      </w:r>
      <w:proofErr w:type="spellStart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Vysota</w:t>
      </w:r>
      <w:proofErr w:type="spellEnd"/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 239 rolling mill in accordance with the American Petroleum Institute standard API 5L. The task involved a challenging lead time for production and delivery. </w:t>
      </w:r>
      <w:bookmarkStart w:id="0" w:name="_GoBack"/>
      <w:bookmarkEnd w:id="0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For the rapid delivery of LDP to Egypt, the company developed a multimodal logistics scheme involving transportation by rail, sea, and road.</w:t>
      </w:r>
    </w:p>
    <w:p w:rsidR="00C06E7F" w:rsidRPr="00C06E7F" w:rsidRDefault="00C06E7F" w:rsidP="00C06E7F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en-GB"/>
        </w:rPr>
      </w:pPr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"Previously </w:t>
      </w:r>
      <w:proofErr w:type="spellStart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 only supplied seamless steel pipes to Africa. We have entered the LDP market and offer potential customers the wide opportunities of white metallurgists. </w:t>
      </w:r>
      <w:proofErr w:type="spellStart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 Group deals with packaged supply of pipes, coupling elements, fittings, oil production equipment and also offers maintenance services. This is our major competitive advantage," says </w:t>
      </w:r>
      <w:r w:rsidR="000960B6" w:rsidRPr="000960B6">
        <w:rPr>
          <w:rFonts w:ascii="Arial" w:hAnsi="Arial" w:cs="Arial"/>
          <w:color w:val="000000"/>
          <w:sz w:val="24"/>
          <w:szCs w:val="24"/>
          <w:lang w:val="en-GB"/>
        </w:rPr>
        <w:t xml:space="preserve">Denis </w:t>
      </w:r>
      <w:proofErr w:type="spellStart"/>
      <w:r w:rsidR="000960B6" w:rsidRPr="000960B6">
        <w:rPr>
          <w:rFonts w:ascii="Arial" w:hAnsi="Arial" w:cs="Arial"/>
          <w:color w:val="000000"/>
          <w:sz w:val="24"/>
          <w:szCs w:val="24"/>
          <w:lang w:val="en-GB"/>
        </w:rPr>
        <w:t>Prikhodko</w:t>
      </w:r>
      <w:proofErr w:type="spellEnd"/>
      <w:r w:rsidR="000960B6" w:rsidRPr="000960B6">
        <w:rPr>
          <w:rFonts w:ascii="Arial" w:hAnsi="Arial" w:cs="Arial"/>
          <w:color w:val="000000"/>
          <w:sz w:val="24"/>
          <w:szCs w:val="24"/>
          <w:lang w:val="en-GB"/>
        </w:rPr>
        <w:t xml:space="preserve">, Sales Director, </w:t>
      </w:r>
      <w:proofErr w:type="spellStart"/>
      <w:r w:rsidR="000960B6" w:rsidRPr="000960B6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="000960B6" w:rsidRPr="000960B6">
        <w:rPr>
          <w:rFonts w:ascii="Arial" w:hAnsi="Arial" w:cs="Arial"/>
          <w:color w:val="000000"/>
          <w:sz w:val="24"/>
          <w:szCs w:val="24"/>
          <w:lang w:val="en-GB"/>
        </w:rPr>
        <w:t xml:space="preserve"> Group</w:t>
      </w:r>
      <w:r w:rsidRPr="00C06E7F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:rsidR="00C06E7F" w:rsidRPr="00C06E7F" w:rsidRDefault="00C06E7F" w:rsidP="00C06E7F">
      <w:pPr>
        <w:shd w:val="clear" w:color="auto" w:fill="FFFFFF"/>
        <w:spacing w:line="360" w:lineRule="auto"/>
        <w:ind w:firstLine="709"/>
        <w:rPr>
          <w:rFonts w:ascii="Arial" w:hAnsi="Arial" w:cs="Arial"/>
          <w:color w:val="000000"/>
          <w:sz w:val="24"/>
          <w:szCs w:val="24"/>
          <w:lang w:val="en-GB"/>
        </w:rPr>
      </w:pPr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In 2016, the export volume of </w:t>
      </w:r>
      <w:proofErr w:type="spellStart"/>
      <w:r w:rsidRPr="00C06E7F">
        <w:rPr>
          <w:rFonts w:ascii="Arial" w:hAnsi="Arial" w:cs="Arial"/>
          <w:color w:val="000000"/>
          <w:sz w:val="24"/>
          <w:szCs w:val="24"/>
          <w:lang w:val="en-GB"/>
        </w:rPr>
        <w:t>ChelPipe</w:t>
      </w:r>
      <w:proofErr w:type="spellEnd"/>
      <w:r w:rsidRPr="00C06E7F">
        <w:rPr>
          <w:rFonts w:ascii="Arial" w:hAnsi="Arial" w:cs="Arial"/>
          <w:color w:val="000000"/>
          <w:sz w:val="24"/>
          <w:szCs w:val="24"/>
          <w:lang w:val="en-GB"/>
        </w:rPr>
        <w:t xml:space="preserve"> Group increased by 31% to 263,000 tons. In 2017, the company plans to raise exports, including through MENA markets (Middle East and North Africa).</w:t>
      </w:r>
    </w:p>
    <w:p w:rsidR="008B3815" w:rsidRPr="000960B6" w:rsidRDefault="008B3815" w:rsidP="00C06E7F">
      <w:pPr>
        <w:jc w:val="both"/>
        <w:rPr>
          <w:b/>
          <w:i/>
          <w:color w:val="000000"/>
          <w:lang w:val="en-US"/>
        </w:rPr>
      </w:pPr>
    </w:p>
    <w:p w:rsidR="008B3815" w:rsidRPr="000960B6" w:rsidRDefault="008B3815" w:rsidP="00C06E7F">
      <w:pPr>
        <w:jc w:val="both"/>
        <w:rPr>
          <w:b/>
          <w:i/>
          <w:color w:val="000000"/>
          <w:lang w:val="en-US"/>
        </w:rPr>
      </w:pPr>
    </w:p>
    <w:p w:rsidR="00C06E7F" w:rsidRPr="000960B6" w:rsidRDefault="00C06E7F" w:rsidP="00C06E7F">
      <w:pPr>
        <w:jc w:val="both"/>
        <w:rPr>
          <w:b/>
          <w:i/>
          <w:color w:val="000000"/>
          <w:lang w:val="en-US"/>
        </w:rPr>
      </w:pPr>
      <w:r>
        <w:rPr>
          <w:b/>
          <w:i/>
          <w:color w:val="000000"/>
          <w:lang w:val="en-US"/>
        </w:rPr>
        <w:t>For reference:</w:t>
      </w:r>
    </w:p>
    <w:p w:rsidR="008B3815" w:rsidRPr="000960B6" w:rsidRDefault="008B3815" w:rsidP="00C06E7F">
      <w:pPr>
        <w:jc w:val="both"/>
        <w:rPr>
          <w:b/>
          <w:bCs/>
          <w:i/>
          <w:iCs/>
          <w:color w:val="000000"/>
          <w:lang w:val="en-US"/>
        </w:rPr>
      </w:pPr>
    </w:p>
    <w:p w:rsidR="00C06E7F" w:rsidRDefault="00C06E7F" w:rsidP="00C06E7F">
      <w:pPr>
        <w:jc w:val="both"/>
        <w:rPr>
          <w:i/>
          <w:lang w:val="en-US"/>
        </w:rPr>
      </w:pPr>
      <w:proofErr w:type="spellStart"/>
      <w:r>
        <w:rPr>
          <w:b/>
          <w:i/>
          <w:lang w:val="en-US"/>
        </w:rPr>
        <w:t>ChelPipe</w:t>
      </w:r>
      <w:proofErr w:type="spellEnd"/>
      <w:r>
        <w:rPr>
          <w:b/>
          <w:i/>
          <w:lang w:val="en-US"/>
        </w:rPr>
        <w:t xml:space="preserve"> Group</w:t>
      </w:r>
      <w:r>
        <w:rPr>
          <w:i/>
          <w:lang w:val="en-US"/>
        </w:rPr>
        <w:t xml:space="preserve"> is a leading industrial group of companies of the Russian iron and steel industry. At year-end 2016, the Company had 16.5% share in the overall shipments by Russian pipe manufacturers </w:t>
      </w:r>
      <w:proofErr w:type="spellStart"/>
      <w:r>
        <w:rPr>
          <w:i/>
          <w:lang w:val="en-US"/>
        </w:rPr>
        <w:t>ChelPipe</w:t>
      </w:r>
      <w:proofErr w:type="spellEnd"/>
      <w:r>
        <w:rPr>
          <w:i/>
          <w:lang w:val="en-US"/>
        </w:rPr>
        <w:t xml:space="preserve"> Group consists of the following ferrous metallurgy plants and companies: the Chelyabinsk Pipe plant, </w:t>
      </w:r>
      <w:proofErr w:type="spellStart"/>
      <w:r>
        <w:rPr>
          <w:i/>
          <w:lang w:val="en-US"/>
        </w:rPr>
        <w:t>Pervouralsk</w:t>
      </w:r>
      <w:proofErr w:type="spellEnd"/>
      <w:r>
        <w:rPr>
          <w:i/>
          <w:lang w:val="en-US"/>
        </w:rPr>
        <w:t xml:space="preserve"> Pipe plant, a storage facility used as an outlet to sell tubular goods in the regions, META scrap metal collection and processing company; mainline equipment manufacturers: Pipeline Bends, ETERNO, MSA (Czech Republic); its oilfield service business represented by Rimera.</w:t>
      </w:r>
    </w:p>
    <w:p w:rsidR="00C06E7F" w:rsidRPr="00C06E7F" w:rsidRDefault="00C06E7F" w:rsidP="00C06E7F">
      <w:pPr>
        <w:shd w:val="clear" w:color="auto" w:fill="FFFFFF"/>
        <w:spacing w:line="360" w:lineRule="auto"/>
        <w:ind w:firstLine="567"/>
        <w:jc w:val="both"/>
        <w:rPr>
          <w:rFonts w:ascii="Arial" w:eastAsia="Times New Roman" w:hAnsi="Arial" w:cs="Arial"/>
          <w:b/>
          <w:color w:val="222222"/>
          <w:sz w:val="19"/>
          <w:szCs w:val="19"/>
          <w:lang w:val="en-US" w:bidi="he-IL"/>
        </w:rPr>
      </w:pPr>
      <w:r w:rsidRPr="00C06E7F">
        <w:rPr>
          <w:rFonts w:ascii="Arial" w:eastAsia="Times New Roman" w:hAnsi="Arial" w:cs="Arial"/>
          <w:b/>
          <w:bCs/>
          <w:i/>
          <w:iCs/>
          <w:color w:val="222222"/>
          <w:sz w:val="19"/>
          <w:szCs w:val="19"/>
          <w:lang w:val="en-US" w:bidi="he-IL"/>
        </w:rPr>
        <w:t> </w:t>
      </w:r>
    </w:p>
    <w:p w:rsidR="00C06E7F" w:rsidRPr="008B3815" w:rsidRDefault="00C06E7F" w:rsidP="00C06E7F">
      <w:pPr>
        <w:shd w:val="clear" w:color="auto" w:fill="FFFFFF"/>
        <w:jc w:val="both"/>
        <w:rPr>
          <w:i/>
          <w:lang w:val="en-US"/>
        </w:rPr>
      </w:pPr>
      <w:r w:rsidRPr="00C06E7F">
        <w:rPr>
          <w:b/>
          <w:i/>
          <w:lang w:val="en-US"/>
        </w:rPr>
        <w:lastRenderedPageBreak/>
        <w:t xml:space="preserve">Ain </w:t>
      </w:r>
      <w:proofErr w:type="spellStart"/>
      <w:r w:rsidRPr="00C06E7F">
        <w:rPr>
          <w:b/>
          <w:i/>
          <w:lang w:val="en-US"/>
        </w:rPr>
        <w:t>Sukhna</w:t>
      </w:r>
      <w:proofErr w:type="spellEnd"/>
      <w:r w:rsidRPr="00C06E7F">
        <w:rPr>
          <w:b/>
          <w:i/>
          <w:lang w:val="en-US"/>
        </w:rPr>
        <w:t xml:space="preserve"> Product Hub</w:t>
      </w:r>
      <w:r w:rsidRPr="00C06E7F">
        <w:rPr>
          <w:i/>
          <w:lang w:val="en-US"/>
        </w:rPr>
        <w:t xml:space="preserve"> includes onshore and offshore facilities for storage, loading, unloading, and shipment of petroleum, liquefied petroleum, and natural gas. The project includes construction of a 2.2 km long pier with water depth ranging from 19 to 21 m to install liquefied natural gas reservoirs with a capacity of up to 216,000 m3, floating storage and regasification units with a capacity of up to 170,000 m3, as well as petroleum and liquefied petroleum gas reservoirs.</w:t>
      </w:r>
    </w:p>
    <w:p w:rsidR="00C06E7F" w:rsidRPr="008B3815" w:rsidRDefault="00C06E7F" w:rsidP="00C06E7F">
      <w:pPr>
        <w:shd w:val="clear" w:color="auto" w:fill="FFFFFF"/>
        <w:jc w:val="both"/>
        <w:rPr>
          <w:i/>
          <w:lang w:val="en-US"/>
        </w:rPr>
      </w:pPr>
    </w:p>
    <w:p w:rsidR="00C06E7F" w:rsidRDefault="00C06E7F" w:rsidP="00C06E7F">
      <w:pPr>
        <w:shd w:val="clear" w:color="auto" w:fill="FFFFFF"/>
        <w:jc w:val="right"/>
        <w:rPr>
          <w:rFonts w:eastAsia="Times New Roman" w:cs="Arial"/>
          <w:b/>
          <w:i/>
          <w:lang w:val="en-US"/>
        </w:rPr>
      </w:pPr>
      <w:r>
        <w:rPr>
          <w:rFonts w:eastAsia="Times New Roman" w:cs="Arial"/>
          <w:b/>
          <w:i/>
          <w:lang w:val="en-US"/>
        </w:rPr>
        <w:t>Leonid Bogomolov</w:t>
      </w:r>
    </w:p>
    <w:p w:rsidR="00C06E7F" w:rsidRPr="0071798D" w:rsidRDefault="00C06E7F" w:rsidP="00C06E7F">
      <w:pPr>
        <w:shd w:val="clear" w:color="auto" w:fill="FFFFFF"/>
        <w:jc w:val="right"/>
        <w:rPr>
          <w:rFonts w:eastAsia="Times New Roman" w:cs="Arial"/>
          <w:i/>
          <w:lang w:val="en-US"/>
        </w:rPr>
      </w:pPr>
      <w:r w:rsidRPr="0071798D">
        <w:rPr>
          <w:rFonts w:eastAsia="Times New Roman" w:cs="Arial"/>
          <w:i/>
          <w:lang w:val="en-US"/>
        </w:rPr>
        <w:t>Head of External Communications Department</w:t>
      </w:r>
    </w:p>
    <w:p w:rsidR="00C06E7F" w:rsidRPr="0071798D" w:rsidRDefault="00C06E7F" w:rsidP="00C06E7F">
      <w:pPr>
        <w:jc w:val="right"/>
        <w:rPr>
          <w:rFonts w:cs="Arial"/>
          <w:bCs/>
          <w:i/>
          <w:iCs/>
          <w:lang w:val="en-US" w:eastAsia="ar-SA"/>
        </w:rPr>
      </w:pPr>
      <w:r w:rsidRPr="0071798D">
        <w:rPr>
          <w:rFonts w:cs="Arial"/>
          <w:bCs/>
          <w:i/>
          <w:iCs/>
          <w:lang w:val="en-US" w:eastAsia="ar-SA"/>
        </w:rPr>
        <w:t xml:space="preserve">tel.: 8(495)775-35-55; </w:t>
      </w:r>
      <w:proofErr w:type="gramStart"/>
      <w:r w:rsidRPr="0071798D">
        <w:rPr>
          <w:rFonts w:cs="Arial"/>
          <w:bCs/>
          <w:i/>
          <w:iCs/>
          <w:lang w:val="en-US" w:eastAsia="ar-SA"/>
        </w:rPr>
        <w:t>mob.:</w:t>
      </w:r>
      <w:proofErr w:type="gramEnd"/>
      <w:r w:rsidRPr="0071798D">
        <w:rPr>
          <w:rFonts w:cs="Arial"/>
          <w:bCs/>
          <w:i/>
          <w:iCs/>
          <w:lang w:val="en-US" w:eastAsia="ar-SA"/>
        </w:rPr>
        <w:t xml:space="preserve"> 8(903)593-63-71</w:t>
      </w:r>
    </w:p>
    <w:p w:rsidR="00C06E7F" w:rsidRDefault="000960B6" w:rsidP="00C06E7F">
      <w:pPr>
        <w:ind w:firstLine="708"/>
        <w:jc w:val="right"/>
        <w:rPr>
          <w:rFonts w:cs="Arial"/>
          <w:sz w:val="24"/>
          <w:szCs w:val="24"/>
          <w:lang w:val="en-US" w:eastAsia="en-US"/>
        </w:rPr>
      </w:pPr>
      <w:hyperlink r:id="rId8" w:history="1">
        <w:r w:rsidR="00C06E7F">
          <w:rPr>
            <w:rStyle w:val="a3"/>
            <w:rFonts w:cs="Arial"/>
            <w:i/>
            <w:lang w:val="en-US"/>
          </w:rPr>
          <w:t>Leonid.Bogomolov@chelpipe.ru</w:t>
        </w:r>
      </w:hyperlink>
    </w:p>
    <w:p w:rsidR="00142E92" w:rsidRPr="005F6250" w:rsidRDefault="000960B6" w:rsidP="005F6250">
      <w:pPr>
        <w:jc w:val="both"/>
        <w:rPr>
          <w:rFonts w:ascii="Arial" w:hAnsi="Arial" w:cs="Arial"/>
          <w:i/>
          <w:lang w:val="en-US"/>
        </w:rPr>
      </w:pPr>
    </w:p>
    <w:sectPr w:rsidR="00142E92" w:rsidRPr="005F6250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D3179"/>
    <w:multiLevelType w:val="hybridMultilevel"/>
    <w:tmpl w:val="6A6299D2"/>
    <w:lvl w:ilvl="0" w:tplc="8CC6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A03E3A" w:tentative="1">
      <w:start w:val="1"/>
      <w:numFmt w:val="lowerLetter"/>
      <w:lvlText w:val="%2."/>
      <w:lvlJc w:val="left"/>
      <w:pPr>
        <w:ind w:left="1440" w:hanging="360"/>
      </w:pPr>
    </w:lvl>
    <w:lvl w:ilvl="2" w:tplc="90C68C5E" w:tentative="1">
      <w:start w:val="1"/>
      <w:numFmt w:val="lowerRoman"/>
      <w:lvlText w:val="%3."/>
      <w:lvlJc w:val="right"/>
      <w:pPr>
        <w:ind w:left="2160" w:hanging="180"/>
      </w:pPr>
    </w:lvl>
    <w:lvl w:ilvl="3" w:tplc="5F7C8C66" w:tentative="1">
      <w:start w:val="1"/>
      <w:numFmt w:val="decimal"/>
      <w:lvlText w:val="%4."/>
      <w:lvlJc w:val="left"/>
      <w:pPr>
        <w:ind w:left="2880" w:hanging="360"/>
      </w:pPr>
    </w:lvl>
    <w:lvl w:ilvl="4" w:tplc="8EFCBD00" w:tentative="1">
      <w:start w:val="1"/>
      <w:numFmt w:val="lowerLetter"/>
      <w:lvlText w:val="%5."/>
      <w:lvlJc w:val="left"/>
      <w:pPr>
        <w:ind w:left="3600" w:hanging="360"/>
      </w:pPr>
    </w:lvl>
    <w:lvl w:ilvl="5" w:tplc="45E0009A" w:tentative="1">
      <w:start w:val="1"/>
      <w:numFmt w:val="lowerRoman"/>
      <w:lvlText w:val="%6."/>
      <w:lvlJc w:val="right"/>
      <w:pPr>
        <w:ind w:left="4320" w:hanging="180"/>
      </w:pPr>
    </w:lvl>
    <w:lvl w:ilvl="6" w:tplc="9620F7BC" w:tentative="1">
      <w:start w:val="1"/>
      <w:numFmt w:val="decimal"/>
      <w:lvlText w:val="%7."/>
      <w:lvlJc w:val="left"/>
      <w:pPr>
        <w:ind w:left="5040" w:hanging="360"/>
      </w:pPr>
    </w:lvl>
    <w:lvl w:ilvl="7" w:tplc="9D9264EE" w:tentative="1">
      <w:start w:val="1"/>
      <w:numFmt w:val="lowerLetter"/>
      <w:lvlText w:val="%8."/>
      <w:lvlJc w:val="left"/>
      <w:pPr>
        <w:ind w:left="5760" w:hanging="360"/>
      </w:pPr>
    </w:lvl>
    <w:lvl w:ilvl="8" w:tplc="6564269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66"/>
    <w:rsid w:val="000960B6"/>
    <w:rsid w:val="003D062A"/>
    <w:rsid w:val="005F6250"/>
    <w:rsid w:val="0064597A"/>
    <w:rsid w:val="0071798D"/>
    <w:rsid w:val="008B3815"/>
    <w:rsid w:val="00950A71"/>
    <w:rsid w:val="009C5666"/>
    <w:rsid w:val="00A374E8"/>
    <w:rsid w:val="00AF0FEA"/>
    <w:rsid w:val="00B82791"/>
    <w:rsid w:val="00C06E7F"/>
    <w:rsid w:val="00F374E8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C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99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styleId="a8">
    <w:name w:val="annotation reference"/>
    <w:basedOn w:val="a0"/>
    <w:uiPriority w:val="99"/>
    <w:semiHidden/>
    <w:unhideWhenUsed/>
    <w:rsid w:val="00AE22B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22B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22BA"/>
    <w:rPr>
      <w:rFonts w:cs="Calibri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22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22BA"/>
    <w:rPr>
      <w:rFonts w:cs="Calibri"/>
      <w:b/>
      <w:bCs/>
    </w:rPr>
  </w:style>
  <w:style w:type="paragraph" w:styleId="ad">
    <w:name w:val="Revision"/>
    <w:hidden/>
    <w:uiPriority w:val="99"/>
    <w:semiHidden/>
    <w:rsid w:val="00AE22BA"/>
    <w:rPr>
      <w:rFonts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AE22B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22BA"/>
    <w:rPr>
      <w:rFonts w:ascii="Tahoma" w:hAnsi="Tahoma" w:cs="Tahoma"/>
      <w:sz w:val="16"/>
      <w:szCs w:val="16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D47A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10435043700200438043d04420435044004320430043b0430char">
    <w:name w:val="dash0411_0435_0437_0020_0438_043d_0442_0435_0440_0432_0430_043b_0430__char"/>
    <w:basedOn w:val="a0"/>
    <w:rsid w:val="00D47AAA"/>
  </w:style>
  <w:style w:type="character" w:customStyle="1" w:styleId="dash04130438043f0435044004410441044b043b043a0430char">
    <w:name w:val="dash0413_0438_043f_0435_0440_0441_0441_044b_043b_043a_0430__char"/>
    <w:basedOn w:val="a0"/>
    <w:rsid w:val="00D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id.Bogomolov@chelpip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71B6A-4C28-4C7A-9E6E-42161A08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Богомолов Леонид Александрович</cp:lastModifiedBy>
  <cp:revision>4</cp:revision>
  <cp:lastPrinted>2017-02-07T16:40:00Z</cp:lastPrinted>
  <dcterms:created xsi:type="dcterms:W3CDTF">2017-03-14T13:17:00Z</dcterms:created>
  <dcterms:modified xsi:type="dcterms:W3CDTF">2017-03-14T16:49:00Z</dcterms:modified>
</cp:coreProperties>
</file>