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rPr>
          <w:b w:val="1"/>
          <w:color w:val="999999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color w:val="666666"/>
          <w:rtl w:val="0"/>
        </w:rPr>
        <w:t xml:space="preserve">Авито</w:t>
      </w:r>
      <w:r w:rsidDel="00000000" w:rsidR="00000000" w:rsidRPr="00000000">
        <w:rPr>
          <w:rtl w:val="0"/>
        </w:rPr>
        <w:t xml:space="preserve">»</w:t>
      </w:r>
      <w:r w:rsidDel="00000000" w:rsidR="00000000" w:rsidRPr="00000000">
        <w:rPr>
          <w:b w:val="1"/>
          <w:color w:val="666666"/>
          <w:rtl w:val="0"/>
        </w:rPr>
        <w:t xml:space="preserve"> на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Rule="auto"/>
        <w:jc w:val="both"/>
        <w:rPr>
          <w:b w:val="1"/>
          <w:color w:val="666666"/>
        </w:rPr>
      </w:pPr>
      <w:r w:rsidDel="00000000" w:rsidR="00000000" w:rsidRPr="00000000">
        <w:rPr>
          <w:b w:val="1"/>
          <w:color w:val="999999"/>
          <w:rtl w:val="0"/>
        </w:rPr>
        <w:t xml:space="preserve">29.04.2025, Россия, Москва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>
          <w:b w:val="1"/>
          <w:sz w:val="24"/>
          <w:szCs w:val="24"/>
        </w:rPr>
      </w:pPr>
      <w:bookmarkStart w:colFirst="0" w:colLast="0" w:name="_heading=h.2et92p0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Минэкономразвития России и Авито Путешествия рассказали, где чаще всего бронируют глэмпинги на майские праздники 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 топ регионов по популярности глэмпингов вошли Московская область, Татарстан, Ярославская область, Карелия, Тульская область и Краснодарский край.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По данным Минэкономразвития России и Авито Путешествий, за год количество доступных для бронирования глэмпингов в стране выросло в 2,1 раза. Больше всего таких объектов на платформе в Московской (27% от всех по России) и Свердловской областях (7%), Татарстане (6%), Башкортостане, Ленинградской области и Краснодарском крае (по 4%). Топ-15 представлен в таблице 1. Год к году предложение глэмпингов выросло во всех регионах рейтинга. Самая заметная динамика — в Башкортостане, Татарстане и Воронежской области (в 2,6 раза в каждом регионе), Челябинской области (в 2,4 раза), Самарской и Тюменской областях (в 2,3 раза), Ленинградской и Свердловской областях (в 2,2 раза).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“Модульные гостиницы и глэмпинги являются сегодня одним из самых популярных форматов размещения, который выбирают туристы. При этом их загрузка остается стабильно высокой, составляя, по данным Ассоциации глэмпингов, в летние месяцы почти 100% в популярных у туристах локациях. Рост числа глэмпингов напрямую связан с мерами поддержки национального проекта “Туризм и гостеприимство”. По программе строительства модульных гостиниц уже введено около 13 тыс. номеров в более чем 60 регионах страны. В рамках нового конкурсного отбора планируем поддержать создание еще 10 тыс. номеров, которые будут введены до конца 2027 года”,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сообщил директор департамента развития туризма Минэкономразвития России Алимбек Хидзев.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По количеству бронирований глэмпингов на майские праздники 2025 года впереди также Московская область: на регион приходится 15% от всех бронирований. Лидерство со столичным регионом делит Татарстан (15%). Доля Ярославской области составляет 6%, Карелии и Тульской области — по 5%, Краснодарского края — 4%, Тверской и Свердловской областей — по 3%. 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Согласно исследованию Минэкономразвития России и Авито Путешествий, наибольшим спросом такой формат отдыха пользуется у жителей Москвы и Московской области — на них приходится треть от всех бронирований в глэмпингах на майские праздники по стране (34%). В тройку лидеров по активности путешественников также вошли Ленинградская (10%) и Саратовская области (4%). Доли других регионов не превышают 3%.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  <w:t xml:space="preserve">В среднем на майские праздники россияне планируют останавливаться в глэмпингах на две ночи. На более длительное проживание в таких объектах рассчитывают путешественники по Красноярскому краю. Татарстану и Башкортостану (на три ночи в каждом случае). Среднее количество гостей по России — четыре человека. Больше из топ-15 регионов рейтинга — в Тюменской области, Башкортостане, Пермском крае, Московской и Свердловской областях (по пять человек).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jc w:val="both"/>
        <w:rPr>
          <w:i w:val="1"/>
          <w:color w:val="ff0000"/>
        </w:rPr>
      </w:pPr>
      <w:r w:rsidDel="00000000" w:rsidR="00000000" w:rsidRPr="00000000">
        <w:rPr>
          <w:i w:val="1"/>
          <w:rtl w:val="0"/>
        </w:rPr>
        <w:t xml:space="preserve">«Популярность глэмпинга растёт, потому что людям хочется проводить больше времени на природе, не жертвуя при этом комфортом. Особенно в майские праздники, когда велико желание перезагрузиться после зимы, отдохнуть на свежем воздухе, но при этом не отказываться от привычных удобств — качественной кровати, душа, электричества. К тому же это весьма фотогеничный компромисс между отдыхом на природе и уровнем сервиса хорошего отеля», </w:t>
      </w:r>
      <w:r w:rsidDel="00000000" w:rsidR="00000000" w:rsidRPr="00000000">
        <w:rPr>
          <w:b w:val="1"/>
          <w:i w:val="1"/>
          <w:rtl w:val="0"/>
        </w:rPr>
        <w:t xml:space="preserve">— прокомментировал Артем Кромочкин, директор Авито Путешествий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Таблица 1. Динамика рынка глэмпинга перед майскими праздниками 2025 года, данные Минэкономразвития России и Авито Путешествий</w:t>
      </w:r>
    </w:p>
    <w:tbl>
      <w:tblPr>
        <w:tblStyle w:val="Table1"/>
        <w:tblW w:w="10343.000000000002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152"/>
        <w:gridCol w:w="2529"/>
        <w:gridCol w:w="1426"/>
        <w:gridCol w:w="1426"/>
        <w:gridCol w:w="1528"/>
        <w:gridCol w:w="1255"/>
        <w:gridCol w:w="1027"/>
        <w:tblGridChange w:id="0">
          <w:tblGrid>
            <w:gridCol w:w="1152"/>
            <w:gridCol w:w="2529"/>
            <w:gridCol w:w="1426"/>
            <w:gridCol w:w="1426"/>
            <w:gridCol w:w="1528"/>
            <w:gridCol w:w="1255"/>
            <w:gridCol w:w="1027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№ в топе по числу объектов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регион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динамика предложения за 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доли предложения по регионам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доли бронирований по регионам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среднее количество ночей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среднее число гостей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Россия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108%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Московская область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87%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27%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15%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Свердловская область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115%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7%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3%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Татарстан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162%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6%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15%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Башкортостан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164%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4%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1%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Ленинградская область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124%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4%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Краснодарский край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104%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4%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4%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Пермский край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85%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3%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Тюменская область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125%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3%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Воронежская область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156%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3%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1%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Самарская область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126%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Нижегородская область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73%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Красноярский край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82%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1%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Челябинская область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139%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1%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Владимирская область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78%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rHeight w:val="173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Карелия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65%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2%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5%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84">
      <w:pPr>
        <w:shd w:fill="ffffff" w:val="clear"/>
        <w:spacing w:after="16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60" w:before="240" w:lineRule="auto"/>
        <w:jc w:val="right"/>
        <w:rPr>
          <w:i w:val="1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Читайте все свежие новости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Авито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Roboto" w:cs="Roboto" w:eastAsia="Roboto" w:hAnsi="Roboto"/>
          <w:b w:val="1"/>
          <w:color w:val="666666"/>
          <w:sz w:val="24"/>
          <w:szCs w:val="24"/>
          <w:rtl w:val="0"/>
        </w:rPr>
        <w:t xml:space="preserve"> на</w:t>
      </w:r>
      <w:hyperlink r:id="rId8">
        <w:r w:rsidDel="00000000" w:rsidR="00000000" w:rsidRPr="00000000">
          <w:rPr>
            <w:rFonts w:ascii="Roboto" w:cs="Roboto" w:eastAsia="Roboto" w:hAnsi="Roboto"/>
            <w:b w:val="1"/>
            <w:color w:val="666666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4"/>
            <w:szCs w:val="24"/>
            <w:rtl w:val="0"/>
          </w:rPr>
          <w:t xml:space="preserve">Avito.Live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Об «Авито»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Авито — одна из крупнейших IT-компаний в России, лидирующая онлайн-платформа для коммерции в России. Согласно данным </w:t>
      </w:r>
      <w:hyperlink r:id="rId10">
        <w:r w:rsidDel="00000000" w:rsidR="00000000" w:rsidRPr="00000000">
          <w:rPr>
            <w:i w:val="1"/>
            <w:color w:val="0000ff"/>
            <w:sz w:val="18"/>
            <w:szCs w:val="18"/>
            <w:u w:val="single"/>
            <w:rtl w:val="0"/>
          </w:rPr>
          <w:t xml:space="preserve">Similar Web</w:t>
        </w:r>
      </w:hyperlink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. Авито — 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Авито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Авито совершается с Доставкой. Авито объединяет продавцов и покупателей, как со стороны частных лиц, так и представителей малого и среднего бизнеса, а также корпораций.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Количество активных объявлений на Авито сегодня — более 200 млн, ежемесячная аудитория — более 60 млн пользователей. Каждую секунду на Авито совершается более 10 сделок, ежедневно пользователи добавляют более 1 млн новых объявлений. В Авито работает 10000 сотрудников.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Об Авито Путешествиях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Авито Путешествия — бизнес-направление федеральной платформы Авито, где можно забронировать онлайн жилье для краткосрочного проживания по стране. Согласно данным ООО «Тибурон», на Авито представлен самый большой выбор квартир, домов и апартаментов по России: в апреле 2024 года на платформе было доступно более 250 тысяч предложений для посуточной аренды. Выбирают платформу не только арендодатели, но и путешественники. По результатам исследования, проведенного ООО «Ипсос Комкон» в январе-марте 2024 года, каждая вторая квартира сдается посуточно на платформе. Также Авито является наиболее узнаваемым ресурсом для посуточной аренды недвижимости (данные исследования ООО «Ипсос Комкон», проведенного в январе-марте 2024 года), а 60% пользователей считают платформу главным ресурсом для посуточной аренды жилья (данные исследования ООО «Ипсос Комкон», проведенного в июле-декабре 2023 года). Вклад Авито в развитие IT-решений в области туризма отмечен наградой «Премии Рунета 2022» в номинации «Туризм и индустрия гостеприимства». За создание системы безопасного онлайн-бронирования Авито получила премию «Компания будущего» в номинации «Адаптивность» от журнала «Компания».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За дополнительной информацией, пожалуйста, обращайтесь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Светлана Орлова, PR-менеджер «Авито Путешествий»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почта: </w:t>
      </w:r>
      <w:r w:rsidDel="00000000" w:rsidR="00000000" w:rsidRPr="00000000">
        <w:rPr>
          <w:i w:val="1"/>
          <w:color w:val="1f6bc0"/>
          <w:sz w:val="20"/>
          <w:szCs w:val="20"/>
          <w:rtl w:val="0"/>
        </w:rPr>
        <w:t xml:space="preserve">smorlova@avito.ru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тел: +79164970885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40" w:line="240" w:lineRule="auto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11" w:type="first"/>
      <w:pgSz w:h="16834" w:w="11909" w:orient="portrait"/>
      <w:pgMar w:bottom="973" w:top="993" w:left="568" w:right="96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spacing w:after="200" w:line="331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778000" cy="4699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8000" cy="469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20" w:customStyle="1">
    <w:name w:val="2"/>
    <w:basedOn w:val="TableNormal1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5">
    <w:name w:val="footnote text"/>
    <w:basedOn w:val="a"/>
    <w:link w:val="a6"/>
    <w:uiPriority w:val="99"/>
    <w:semiHidden w:val="1"/>
    <w:unhideWhenUsed w:val="1"/>
    <w:rsid w:val="00D659AF"/>
    <w:pPr>
      <w:spacing w:line="240" w:lineRule="auto"/>
    </w:pPr>
    <w:rPr>
      <w:sz w:val="20"/>
      <w:szCs w:val="20"/>
    </w:rPr>
  </w:style>
  <w:style w:type="character" w:styleId="a6" w:customStyle="1">
    <w:name w:val="Текст сноски Знак"/>
    <w:basedOn w:val="a0"/>
    <w:link w:val="a5"/>
    <w:uiPriority w:val="99"/>
    <w:semiHidden w:val="1"/>
    <w:rsid w:val="00D659AF"/>
    <w:rPr>
      <w:sz w:val="20"/>
      <w:szCs w:val="20"/>
    </w:rPr>
  </w:style>
  <w:style w:type="character" w:styleId="a7">
    <w:name w:val="footnote reference"/>
    <w:basedOn w:val="a0"/>
    <w:uiPriority w:val="99"/>
    <w:semiHidden w:val="1"/>
    <w:unhideWhenUsed w:val="1"/>
    <w:rsid w:val="00D659AF"/>
    <w:rPr>
      <w:vertAlign w:val="superscript"/>
    </w:rPr>
  </w:style>
  <w:style w:type="table" w:styleId="a8">
    <w:name w:val="Grid Table Light"/>
    <w:basedOn w:val="a1"/>
    <w:uiPriority w:val="40"/>
    <w:rsid w:val="000C1D6E"/>
    <w:pPr>
      <w:spacing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9">
    <w:name w:val="Normal (Web)"/>
    <w:basedOn w:val="a"/>
    <w:uiPriority w:val="99"/>
    <w:unhideWhenUsed w:val="1"/>
    <w:rsid w:val="009C64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 w:val="1"/>
    <w:rsid w:val="009C640F"/>
    <w:rPr>
      <w:color w:val="0000ff"/>
      <w:u w:val="single"/>
    </w:rPr>
  </w:style>
  <w:style w:type="table" w:styleId="10" w:customStyle="1">
    <w:name w:val="1"/>
    <w:basedOn w:val="TableNormal1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f4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c">
    <w:name w:val="Unresolved Mention"/>
    <w:basedOn w:val="a0"/>
    <w:uiPriority w:val="99"/>
    <w:semiHidden w:val="1"/>
    <w:unhideWhenUsed w:val="1"/>
    <w:rsid w:val="001B7725"/>
    <w:rPr>
      <w:color w:val="605e5c"/>
      <w:shd w:color="auto" w:fill="e1dfdd" w:val="clear"/>
    </w:rPr>
  </w:style>
  <w:style w:type="table" w:styleId="ad" w:customStyle="1">
    <w:basedOn w:val="TableNormalf3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f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f">
    <w:name w:val="annotation reference"/>
    <w:uiPriority w:val="99"/>
    <w:semiHidden w:val="1"/>
    <w:unhideWhenUsed w:val="1"/>
    <w:rPr>
      <w:sz w:val="16"/>
      <w:szCs w:val="16"/>
    </w:rPr>
  </w:style>
  <w:style w:type="paragraph" w:styleId="af0">
    <w:name w:val="annotation subject"/>
    <w:basedOn w:val="af1"/>
    <w:next w:val="af1"/>
    <w:link w:val="af2"/>
    <w:uiPriority w:val="99"/>
    <w:semiHidden w:val="1"/>
    <w:unhideWhenUsed w:val="1"/>
    <w:rPr>
      <w:b w:val="1"/>
      <w:bCs w:val="1"/>
    </w:rPr>
  </w:style>
  <w:style w:type="paragraph" w:styleId="af1">
    <w:name w:val="annotation text"/>
    <w:basedOn w:val="a"/>
    <w:link w:val="af3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3" w:customStyle="1">
    <w:name w:val="Текст примечания Знак"/>
    <w:link w:val="af1"/>
    <w:uiPriority w:val="99"/>
    <w:semiHidden w:val="1"/>
    <w:rPr>
      <w:sz w:val="20"/>
      <w:szCs w:val="20"/>
    </w:rPr>
  </w:style>
  <w:style w:type="character" w:styleId="af2" w:customStyle="1">
    <w:name w:val="Тема примечания Знак"/>
    <w:basedOn w:val="af3"/>
    <w:link w:val="af0"/>
    <w:uiPriority w:val="99"/>
    <w:semiHidden w:val="1"/>
    <w:rPr>
      <w:b w:val="1"/>
      <w:bCs w:val="1"/>
      <w:sz w:val="20"/>
      <w:szCs w:val="20"/>
    </w:rPr>
  </w:style>
  <w:style w:type="table" w:styleId="af4" w:customStyle="1">
    <w:basedOn w:val="TableNormale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e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d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c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c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b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a">
    <w:name w:val="Balloon Text"/>
    <w:basedOn w:val="a"/>
    <w:link w:val="afb"/>
    <w:uiPriority w:val="99"/>
    <w:semiHidden w:val="1"/>
    <w:unhideWhenUsed w:val="1"/>
    <w:rsid w:val="00177945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fb" w:customStyle="1">
    <w:name w:val="Текст выноски Знак"/>
    <w:basedOn w:val="a0"/>
    <w:link w:val="afa"/>
    <w:uiPriority w:val="99"/>
    <w:semiHidden w:val="1"/>
    <w:rsid w:val="00177945"/>
    <w:rPr>
      <w:rFonts w:ascii="Segoe UI" w:cs="Segoe UI" w:hAnsi="Segoe UI"/>
      <w:sz w:val="18"/>
      <w:szCs w:val="18"/>
    </w:rPr>
  </w:style>
  <w:style w:type="table" w:styleId="afc" w:customStyle="1">
    <w:basedOn w:val="TableNormala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9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8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7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6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5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5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3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f6">
    <w:name w:val="List Paragraph"/>
    <w:basedOn w:val="a"/>
    <w:uiPriority w:val="34"/>
    <w:qFormat w:val="1"/>
    <w:rsid w:val="00A208B5"/>
    <w:pPr>
      <w:ind w:left="720"/>
      <w:contextualSpacing w:val="1"/>
    </w:pPr>
  </w:style>
  <w:style w:type="table" w:styleId="aff7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2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imilarweb.com/ru/top-websites/e-commerce-and-shopping/classifieds/" TargetMode="External"/><Relationship Id="rId9" Type="http://schemas.openxmlformats.org/officeDocument/2006/relationships/hyperlink" Target="https://t.me/AvitoLiv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https://t.me/AvitoLiv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oaP3HF2rLNVYZCDTw2HnHPgsg==">CgMxLjAyCWguMmV0OTJwMDgAciExWEJ3elh6WGE1OGdFdmFFaERvUVE0MV80em9MZzR6LVE=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2025-04-21T07:59:00Z</dcterms:created>
  <dc:creator>Максим</dc:creator>
</cp:coreProperties>
</file>