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BD" w:rsidRPr="008949BD" w:rsidRDefault="008949BD" w:rsidP="008949BD">
      <w:pPr>
        <w:spacing w:after="24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949BD">
        <w:rPr>
          <w:rFonts w:ascii="Times New Roman" w:hAnsi="Times New Roman"/>
          <w:b/>
          <w:bCs/>
          <w:sz w:val="24"/>
          <w:szCs w:val="24"/>
        </w:rPr>
        <w:t>Объем нового бизнеса «Балтийского лизинга» в первом полугодии 2021 года вырос на 55,7%</w:t>
      </w:r>
    </w:p>
    <w:p w:rsidR="008949BD" w:rsidRPr="008949BD" w:rsidRDefault="00D0751B" w:rsidP="008949BD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949BD">
        <w:rPr>
          <w:rFonts w:ascii="Times New Roman" w:hAnsi="Times New Roman"/>
          <w:b/>
          <w:sz w:val="24"/>
          <w:szCs w:val="24"/>
        </w:rPr>
        <w:t>С</w:t>
      </w:r>
      <w:r w:rsidR="00763043" w:rsidRPr="008949BD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8949BD" w:rsidRPr="008949BD">
        <w:rPr>
          <w:rFonts w:ascii="Times New Roman" w:hAnsi="Times New Roman"/>
          <w:b/>
          <w:sz w:val="24"/>
          <w:szCs w:val="24"/>
        </w:rPr>
        <w:t>13</w:t>
      </w:r>
      <w:r w:rsidR="004F451F" w:rsidRPr="008949BD">
        <w:rPr>
          <w:rFonts w:ascii="Times New Roman" w:hAnsi="Times New Roman"/>
          <w:b/>
          <w:sz w:val="24"/>
          <w:szCs w:val="24"/>
        </w:rPr>
        <w:t xml:space="preserve"> ию</w:t>
      </w:r>
      <w:r w:rsidR="007C386A" w:rsidRPr="008949BD">
        <w:rPr>
          <w:rFonts w:ascii="Times New Roman" w:hAnsi="Times New Roman"/>
          <w:b/>
          <w:sz w:val="24"/>
          <w:szCs w:val="24"/>
        </w:rPr>
        <w:t>л</w:t>
      </w:r>
      <w:r w:rsidR="004F451F" w:rsidRPr="008949BD">
        <w:rPr>
          <w:rFonts w:ascii="Times New Roman" w:hAnsi="Times New Roman"/>
          <w:b/>
          <w:sz w:val="24"/>
          <w:szCs w:val="24"/>
        </w:rPr>
        <w:t xml:space="preserve">я </w:t>
      </w:r>
      <w:r w:rsidR="00B11070" w:rsidRPr="008949BD">
        <w:rPr>
          <w:rFonts w:ascii="Times New Roman" w:hAnsi="Times New Roman"/>
          <w:b/>
          <w:sz w:val="24"/>
          <w:szCs w:val="24"/>
        </w:rPr>
        <w:t>2021</w:t>
      </w:r>
      <w:r w:rsidR="00763043" w:rsidRPr="008949BD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8949BD">
        <w:rPr>
          <w:rFonts w:ascii="Times New Roman" w:hAnsi="Times New Roman"/>
          <w:b/>
          <w:sz w:val="24"/>
          <w:szCs w:val="24"/>
        </w:rPr>
        <w:t>.</w:t>
      </w:r>
      <w:r w:rsidR="00A701F0" w:rsidRPr="008949BD">
        <w:rPr>
          <w:rFonts w:ascii="Times New Roman" w:hAnsi="Times New Roman"/>
          <w:sz w:val="24"/>
          <w:szCs w:val="24"/>
        </w:rPr>
        <w:t xml:space="preserve"> </w:t>
      </w:r>
      <w:r w:rsidR="008949BD" w:rsidRPr="008949BD">
        <w:rPr>
          <w:rFonts w:ascii="Times New Roman" w:hAnsi="Times New Roman"/>
          <w:bCs/>
          <w:sz w:val="24"/>
          <w:szCs w:val="24"/>
        </w:rPr>
        <w:t>По итогам первого полугодия 2021 года объем нового бизнеса (стоимость лизингового имущества без НДС) компании «Балтийский лизинг» превысил 41,6 млрд рублей, что на 55,7% больше аналогичного показателя 2020 года.</w:t>
      </w:r>
      <w:bookmarkStart w:id="0" w:name="_GoBack"/>
      <w:bookmarkEnd w:id="0"/>
    </w:p>
    <w:p w:rsidR="008949BD" w:rsidRPr="008949BD" w:rsidRDefault="008949BD" w:rsidP="008949B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949BD">
        <w:rPr>
          <w:rFonts w:ascii="Times New Roman" w:hAnsi="Times New Roman"/>
          <w:sz w:val="24"/>
          <w:szCs w:val="24"/>
        </w:rPr>
        <w:t xml:space="preserve">Всего за отчетный период компания заключила 12 555 новых договоров финансового и операционного лизинга, что на 33,4% больше, чем в первом полугодии 2020 года. </w:t>
      </w:r>
    </w:p>
    <w:p w:rsidR="008949BD" w:rsidRPr="008949BD" w:rsidRDefault="008949BD" w:rsidP="008949B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949BD">
        <w:rPr>
          <w:rFonts w:ascii="Times New Roman" w:hAnsi="Times New Roman"/>
          <w:sz w:val="24"/>
          <w:szCs w:val="24"/>
        </w:rPr>
        <w:t>Если говорить о структуре предметов лизинга, то можно отметить, что в числе сегментов-лидеров – автотранспорт, доля которого в объеме нового бизнеса превышает 59%, строительная и дорожно-строительная техника – 18%. Оставшаяся доля приходится на сельскохозяйственную технику, машиностроительное и складское оборудование и прочее имущество.</w:t>
      </w:r>
    </w:p>
    <w:p w:rsidR="001237E2" w:rsidRPr="00A63522" w:rsidRDefault="00BC47D2" w:rsidP="008949B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63522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1B7B20">
        <w:rPr>
          <w:rFonts w:ascii="Times New Roman" w:hAnsi="Times New Roman"/>
          <w:i/>
          <w:sz w:val="20"/>
          <w:szCs w:val="20"/>
        </w:rPr>
        <w:t>+</w:t>
      </w:r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8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8949BD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9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0C6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386A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49BD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522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825"/>
    <o:shapelayout v:ext="edit">
      <o:idmap v:ext="edit" data="1"/>
    </o:shapelayout>
  </w:shapeDefaults>
  <w:decimalSymbol w:val=","/>
  <w:listSeparator w:val=";"/>
  <w14:docId w14:val="1EDEBE93"/>
  <w15:docId w15:val="{8F3C1E47-B305-483D-BC88-BEA765E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426D1-76A9-4933-A82F-3A5EDF25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592</cp:revision>
  <dcterms:created xsi:type="dcterms:W3CDTF">2018-07-26T07:30:00Z</dcterms:created>
  <dcterms:modified xsi:type="dcterms:W3CDTF">2021-07-13T07:23:00Z</dcterms:modified>
</cp:coreProperties>
</file>