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A2F06">
        <w:rPr>
          <w:rFonts w:ascii="Times New Roman" w:hAnsi="Times New Roman"/>
          <w:b/>
          <w:sz w:val="24"/>
          <w:szCs w:val="24"/>
        </w:rPr>
        <w:t xml:space="preserve">Клиенты «Балтийского лизинга» </w:t>
      </w:r>
      <w:r>
        <w:rPr>
          <w:rFonts w:ascii="Times New Roman" w:hAnsi="Times New Roman"/>
          <w:b/>
          <w:sz w:val="24"/>
          <w:szCs w:val="24"/>
        </w:rPr>
        <w:t>получа</w:t>
      </w:r>
      <w:r w:rsidRPr="002A2F06">
        <w:rPr>
          <w:rFonts w:ascii="Times New Roman" w:hAnsi="Times New Roman"/>
          <w:b/>
          <w:sz w:val="24"/>
          <w:szCs w:val="24"/>
        </w:rPr>
        <w:t xml:space="preserve">т субсидию до 300 000 рублей от </w:t>
      </w:r>
      <w:proofErr w:type="spellStart"/>
      <w:r w:rsidRPr="002A2F06">
        <w:rPr>
          <w:rFonts w:ascii="Times New Roman" w:hAnsi="Times New Roman"/>
          <w:b/>
          <w:sz w:val="24"/>
          <w:szCs w:val="24"/>
        </w:rPr>
        <w:t>Mercedes-Benz</w:t>
      </w:r>
      <w:proofErr w:type="spellEnd"/>
    </w:p>
    <w:p w:rsidR="004C6E08" w:rsidRPr="002A2F06" w:rsidRDefault="00763043" w:rsidP="004C6E0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192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2192E">
        <w:rPr>
          <w:rFonts w:ascii="Times New Roman" w:hAnsi="Times New Roman"/>
          <w:b/>
          <w:sz w:val="24"/>
          <w:szCs w:val="24"/>
        </w:rPr>
        <w:t>2</w:t>
      </w:r>
      <w:r w:rsidR="004C6E08">
        <w:rPr>
          <w:rFonts w:ascii="Times New Roman" w:hAnsi="Times New Roman"/>
          <w:b/>
          <w:sz w:val="24"/>
          <w:szCs w:val="24"/>
        </w:rPr>
        <w:t>2</w:t>
      </w:r>
      <w:r w:rsidR="009A2644" w:rsidRPr="0082192E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82192E">
        <w:rPr>
          <w:rFonts w:ascii="Times New Roman" w:hAnsi="Times New Roman"/>
          <w:b/>
          <w:sz w:val="24"/>
          <w:szCs w:val="24"/>
        </w:rPr>
        <w:t>бря</w:t>
      </w:r>
      <w:r w:rsidR="000F62C2" w:rsidRPr="0082192E">
        <w:rPr>
          <w:rFonts w:ascii="Times New Roman" w:hAnsi="Times New Roman"/>
          <w:b/>
          <w:sz w:val="24"/>
          <w:szCs w:val="24"/>
        </w:rPr>
        <w:t xml:space="preserve"> </w:t>
      </w:r>
      <w:r w:rsidRPr="0082192E">
        <w:rPr>
          <w:rFonts w:ascii="Times New Roman" w:hAnsi="Times New Roman"/>
          <w:b/>
          <w:sz w:val="24"/>
          <w:szCs w:val="24"/>
        </w:rPr>
        <w:t>2019 года.</w:t>
      </w:r>
      <w:r w:rsidRPr="0082192E">
        <w:rPr>
          <w:rFonts w:ascii="Times New Roman" w:hAnsi="Times New Roman"/>
          <w:sz w:val="24"/>
          <w:szCs w:val="24"/>
        </w:rPr>
        <w:t xml:space="preserve"> </w:t>
      </w:r>
      <w:r w:rsidR="004C6E08" w:rsidRPr="002A2F06">
        <w:rPr>
          <w:rFonts w:ascii="Times New Roman" w:hAnsi="Times New Roman"/>
          <w:sz w:val="24"/>
          <w:szCs w:val="24"/>
        </w:rPr>
        <w:t xml:space="preserve">«Балтийский лизинг» предлагает своим клиентам приобретать </w:t>
      </w:r>
      <w:hyperlink r:id="rId8" w:history="1">
        <w:r w:rsidR="004C6E08" w:rsidRPr="00606B0A">
          <w:rPr>
            <w:rStyle w:val="a9"/>
            <w:rFonts w:ascii="Times New Roman" w:hAnsi="Times New Roman"/>
            <w:sz w:val="24"/>
            <w:szCs w:val="24"/>
          </w:rPr>
          <w:t xml:space="preserve">автомобили </w:t>
        </w:r>
        <w:proofErr w:type="spellStart"/>
        <w:r w:rsidR="004C6E08" w:rsidRPr="00606B0A">
          <w:rPr>
            <w:rStyle w:val="a9"/>
            <w:rFonts w:ascii="Times New Roman" w:hAnsi="Times New Roman"/>
            <w:sz w:val="24"/>
            <w:szCs w:val="24"/>
          </w:rPr>
          <w:t>Mercedes-Benz</w:t>
        </w:r>
        <w:proofErr w:type="spellEnd"/>
        <w:r w:rsidR="004C6E08" w:rsidRPr="00606B0A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4C6E08" w:rsidRPr="00606B0A">
          <w:rPr>
            <w:rStyle w:val="a9"/>
            <w:rFonts w:ascii="Times New Roman" w:hAnsi="Times New Roman"/>
            <w:sz w:val="24"/>
            <w:szCs w:val="24"/>
          </w:rPr>
          <w:t>Actros</w:t>
        </w:r>
        <w:proofErr w:type="spellEnd"/>
        <w:r w:rsidR="004C6E08" w:rsidRPr="00606B0A">
          <w:rPr>
            <w:rStyle w:val="a9"/>
            <w:rFonts w:ascii="Times New Roman" w:hAnsi="Times New Roman"/>
            <w:sz w:val="24"/>
            <w:szCs w:val="24"/>
          </w:rPr>
          <w:t xml:space="preserve"> на льготных условиях</w:t>
        </w:r>
      </w:hyperlink>
      <w:r w:rsidR="004C6E08" w:rsidRPr="002A2F06">
        <w:rPr>
          <w:rFonts w:ascii="Times New Roman" w:hAnsi="Times New Roman"/>
          <w:sz w:val="24"/>
          <w:szCs w:val="24"/>
        </w:rPr>
        <w:t xml:space="preserve">. Компания при поддержке генерального импортера грузовой и специальной техники немецкого </w:t>
      </w:r>
      <w:proofErr w:type="spellStart"/>
      <w:r w:rsidR="004C6E08" w:rsidRPr="002A2F06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="004C6E08" w:rsidRPr="002A2F06">
        <w:rPr>
          <w:rFonts w:ascii="Times New Roman" w:hAnsi="Times New Roman"/>
          <w:sz w:val="24"/>
          <w:szCs w:val="24"/>
        </w:rPr>
        <w:t xml:space="preserve"> запускает </w:t>
      </w:r>
      <w:proofErr w:type="spellStart"/>
      <w:r w:rsidR="004C6E08" w:rsidRPr="002A2F06">
        <w:rPr>
          <w:rFonts w:ascii="Times New Roman" w:hAnsi="Times New Roman"/>
          <w:sz w:val="24"/>
          <w:szCs w:val="24"/>
        </w:rPr>
        <w:t>спецпрограмму</w:t>
      </w:r>
      <w:proofErr w:type="spellEnd"/>
      <w:r w:rsidR="004C6E08" w:rsidRPr="002A2F06">
        <w:rPr>
          <w:rFonts w:ascii="Times New Roman" w:hAnsi="Times New Roman"/>
          <w:sz w:val="24"/>
          <w:szCs w:val="24"/>
        </w:rPr>
        <w:t>, в рамках которой субсидируются авансовые платежи.</w:t>
      </w:r>
    </w:p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2F06">
        <w:rPr>
          <w:rFonts w:ascii="Times New Roman" w:hAnsi="Times New Roman"/>
          <w:sz w:val="24"/>
          <w:szCs w:val="24"/>
        </w:rPr>
        <w:t xml:space="preserve">Так, покупая седельные тягачи и самосвалы </w:t>
      </w:r>
      <w:proofErr w:type="spellStart"/>
      <w:r w:rsidRPr="002A2F06">
        <w:rPr>
          <w:rFonts w:ascii="Times New Roman" w:hAnsi="Times New Roman"/>
          <w:sz w:val="24"/>
          <w:szCs w:val="24"/>
        </w:rPr>
        <w:t>Mercedes-Benz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F06">
        <w:rPr>
          <w:rFonts w:ascii="Times New Roman" w:hAnsi="Times New Roman"/>
          <w:sz w:val="24"/>
          <w:szCs w:val="24"/>
        </w:rPr>
        <w:t>Actros</w:t>
      </w:r>
      <w:proofErr w:type="spellEnd"/>
      <w:r w:rsidRPr="002A2F06">
        <w:rPr>
          <w:rFonts w:ascii="Times New Roman" w:hAnsi="Times New Roman"/>
          <w:sz w:val="24"/>
          <w:szCs w:val="24"/>
        </w:rPr>
        <w:t>, клиенты компании получат субсидию в размере 300 000 рублей. Предложение на грузовики</w:t>
      </w:r>
      <w:r>
        <w:rPr>
          <w:rFonts w:ascii="Times New Roman" w:hAnsi="Times New Roman"/>
          <w:sz w:val="24"/>
          <w:szCs w:val="24"/>
        </w:rPr>
        <w:t xml:space="preserve"> актуально до конца 2019 года.</w:t>
      </w:r>
    </w:p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2F06">
        <w:rPr>
          <w:rFonts w:ascii="Times New Roman" w:hAnsi="Times New Roman"/>
          <w:sz w:val="24"/>
          <w:szCs w:val="24"/>
        </w:rPr>
        <w:t xml:space="preserve">Для оформления сделки от лизингополучателя требуется минимальный пакет документов и аванс от 10%. Договор лизинга в соответствии с условиями </w:t>
      </w:r>
      <w:proofErr w:type="spellStart"/>
      <w:r w:rsidRPr="002A2F06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заключается на срок от 12 до 48 месяцев, предварительное решение о финансировании принимается в день обращения.</w:t>
      </w:r>
    </w:p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2F06">
        <w:rPr>
          <w:rFonts w:ascii="Times New Roman" w:hAnsi="Times New Roman"/>
          <w:sz w:val="24"/>
          <w:szCs w:val="24"/>
        </w:rPr>
        <w:t xml:space="preserve">Как отмечается на официальном сайте </w:t>
      </w:r>
      <w:proofErr w:type="spellStart"/>
      <w:r w:rsidRPr="002A2F06">
        <w:rPr>
          <w:rFonts w:ascii="Times New Roman" w:hAnsi="Times New Roman"/>
          <w:sz w:val="24"/>
          <w:szCs w:val="24"/>
        </w:rPr>
        <w:t>Mercedes-Benz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, грузовик учитывает потребности каждого конкретного сектора перевозок: для </w:t>
      </w:r>
      <w:proofErr w:type="spellStart"/>
      <w:r w:rsidRPr="002A2F06">
        <w:rPr>
          <w:rFonts w:ascii="Times New Roman" w:hAnsi="Times New Roman"/>
          <w:sz w:val="24"/>
          <w:szCs w:val="24"/>
        </w:rPr>
        <w:t>Actros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доступны 14 вариантов кабин, несколько моделей двигателей разных объемов и мощностью от 240 до 630 л.</w:t>
      </w:r>
      <w:proofErr w:type="gramStart"/>
      <w:r w:rsidRPr="002A2F06">
        <w:rPr>
          <w:rFonts w:ascii="Times New Roman" w:hAnsi="Times New Roman"/>
          <w:sz w:val="24"/>
          <w:szCs w:val="24"/>
        </w:rPr>
        <w:t>с</w:t>
      </w:r>
      <w:proofErr w:type="gramEnd"/>
      <w:r w:rsidRPr="002A2F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2F06">
        <w:rPr>
          <w:rFonts w:ascii="Times New Roman" w:hAnsi="Times New Roman"/>
          <w:sz w:val="24"/>
          <w:szCs w:val="24"/>
        </w:rPr>
        <w:t>Кроме</w:t>
      </w:r>
      <w:proofErr w:type="gramEnd"/>
      <w:r w:rsidRPr="002A2F06">
        <w:rPr>
          <w:rFonts w:ascii="Times New Roman" w:hAnsi="Times New Roman"/>
          <w:sz w:val="24"/>
          <w:szCs w:val="24"/>
        </w:rPr>
        <w:t xml:space="preserve"> того, тягач снабдили инновационными системами, позволяющими эксплуатировать грузовик экономичнее и эффективнее. Также инженеры уделили особое внимание вопросам безопасности </w:t>
      </w:r>
      <w:proofErr w:type="spellStart"/>
      <w:r w:rsidRPr="002A2F06">
        <w:rPr>
          <w:rFonts w:ascii="Times New Roman" w:hAnsi="Times New Roman"/>
          <w:sz w:val="24"/>
          <w:szCs w:val="24"/>
        </w:rPr>
        <w:t>Actros</w:t>
      </w:r>
      <w:proofErr w:type="spellEnd"/>
      <w:r w:rsidRPr="002A2F06">
        <w:rPr>
          <w:rFonts w:ascii="Times New Roman" w:hAnsi="Times New Roman"/>
          <w:sz w:val="24"/>
          <w:szCs w:val="24"/>
        </w:rPr>
        <w:t>.</w:t>
      </w:r>
    </w:p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2F06">
        <w:rPr>
          <w:rFonts w:ascii="Times New Roman" w:hAnsi="Times New Roman"/>
          <w:sz w:val="24"/>
          <w:szCs w:val="24"/>
        </w:rPr>
        <w:t xml:space="preserve">«В </w:t>
      </w:r>
      <w:proofErr w:type="spellStart"/>
      <w:r w:rsidRPr="002A2F06">
        <w:rPr>
          <w:rFonts w:ascii="Times New Roman" w:hAnsi="Times New Roman"/>
          <w:sz w:val="24"/>
          <w:szCs w:val="24"/>
        </w:rPr>
        <w:t>Actros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реализуются такие инновации как двигатели </w:t>
      </w:r>
      <w:proofErr w:type="spellStart"/>
      <w:r w:rsidRPr="002A2F06">
        <w:rPr>
          <w:rFonts w:ascii="Times New Roman" w:hAnsi="Times New Roman"/>
          <w:sz w:val="24"/>
          <w:szCs w:val="24"/>
        </w:rPr>
        <w:t>BlueT</w:t>
      </w:r>
      <w:proofErr w:type="gramStart"/>
      <w:r w:rsidRPr="002A2F06">
        <w:rPr>
          <w:rFonts w:ascii="Times New Roman" w:hAnsi="Times New Roman"/>
          <w:sz w:val="24"/>
          <w:szCs w:val="24"/>
        </w:rPr>
        <w:t>ес</w:t>
      </w:r>
      <w:proofErr w:type="spellEnd"/>
      <w:proofErr w:type="gramEnd"/>
      <w:r w:rsidRPr="002A2F06">
        <w:rPr>
          <w:rFonts w:ascii="Times New Roman" w:hAnsi="Times New Roman"/>
          <w:sz w:val="24"/>
          <w:szCs w:val="24"/>
        </w:rPr>
        <w:t xml:space="preserve">, коробки передач </w:t>
      </w:r>
      <w:proofErr w:type="spellStart"/>
      <w:r w:rsidRPr="002A2F06">
        <w:rPr>
          <w:rFonts w:ascii="Times New Roman" w:hAnsi="Times New Roman"/>
          <w:sz w:val="24"/>
          <w:szCs w:val="24"/>
        </w:rPr>
        <w:t>Mercedes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F06">
        <w:rPr>
          <w:rFonts w:ascii="Times New Roman" w:hAnsi="Times New Roman"/>
          <w:sz w:val="24"/>
          <w:szCs w:val="24"/>
        </w:rPr>
        <w:t>PowerShift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, система предусмотрительного управления силовой линией </w:t>
      </w:r>
      <w:proofErr w:type="spellStart"/>
      <w:r w:rsidRPr="002A2F06">
        <w:rPr>
          <w:rFonts w:ascii="Times New Roman" w:hAnsi="Times New Roman"/>
          <w:sz w:val="24"/>
          <w:szCs w:val="24"/>
        </w:rPr>
        <w:t>Predictive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F06">
        <w:rPr>
          <w:rFonts w:ascii="Times New Roman" w:hAnsi="Times New Roman"/>
          <w:sz w:val="24"/>
          <w:szCs w:val="24"/>
        </w:rPr>
        <w:t>Powertrain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F06">
        <w:rPr>
          <w:rFonts w:ascii="Times New Roman" w:hAnsi="Times New Roman"/>
          <w:sz w:val="24"/>
          <w:szCs w:val="24"/>
        </w:rPr>
        <w:t>Control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(PPC). С 2001 года на </w:t>
      </w:r>
      <w:proofErr w:type="spellStart"/>
      <w:r w:rsidRPr="002A2F06">
        <w:rPr>
          <w:rFonts w:ascii="Times New Roman" w:hAnsi="Times New Roman"/>
          <w:sz w:val="24"/>
          <w:szCs w:val="24"/>
        </w:rPr>
        <w:t>Actros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предлагается система контроля полосы движения. Еще одним примером первенства </w:t>
      </w:r>
      <w:proofErr w:type="spellStart"/>
      <w:r w:rsidRPr="002A2F06">
        <w:rPr>
          <w:rFonts w:ascii="Times New Roman" w:hAnsi="Times New Roman"/>
          <w:sz w:val="24"/>
          <w:szCs w:val="24"/>
        </w:rPr>
        <w:t>Actros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в вопросах безопасности является четвертое поколение системы экстренного аварийного торможения </w:t>
      </w:r>
      <w:proofErr w:type="spellStart"/>
      <w:r w:rsidRPr="002A2F06">
        <w:rPr>
          <w:rFonts w:ascii="Times New Roman" w:hAnsi="Times New Roman"/>
          <w:sz w:val="24"/>
          <w:szCs w:val="24"/>
        </w:rPr>
        <w:t>Active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F06">
        <w:rPr>
          <w:rFonts w:ascii="Times New Roman" w:hAnsi="Times New Roman"/>
          <w:sz w:val="24"/>
          <w:szCs w:val="24"/>
        </w:rPr>
        <w:t>Brake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F06">
        <w:rPr>
          <w:rFonts w:ascii="Times New Roman" w:hAnsi="Times New Roman"/>
          <w:sz w:val="24"/>
          <w:szCs w:val="24"/>
        </w:rPr>
        <w:t>Assist</w:t>
      </w:r>
      <w:proofErr w:type="spellEnd"/>
      <w:r w:rsidRPr="002A2F06">
        <w:rPr>
          <w:rFonts w:ascii="Times New Roman" w:hAnsi="Times New Roman"/>
          <w:sz w:val="24"/>
          <w:szCs w:val="24"/>
        </w:rPr>
        <w:t xml:space="preserve">, повышающей безопасность всех участников дорожного движения, включая пешеходов», - говорится в сообщении </w:t>
      </w:r>
      <w:proofErr w:type="spellStart"/>
      <w:r w:rsidRPr="002A2F06">
        <w:rPr>
          <w:rFonts w:ascii="Times New Roman" w:hAnsi="Times New Roman"/>
          <w:sz w:val="24"/>
          <w:szCs w:val="24"/>
        </w:rPr>
        <w:t>Mercedes-Benz</w:t>
      </w:r>
      <w:proofErr w:type="spellEnd"/>
      <w:r w:rsidRPr="002A2F06">
        <w:rPr>
          <w:rFonts w:ascii="Times New Roman" w:hAnsi="Times New Roman"/>
          <w:sz w:val="24"/>
          <w:szCs w:val="24"/>
        </w:rPr>
        <w:t>.</w:t>
      </w:r>
    </w:p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2F06">
        <w:rPr>
          <w:rFonts w:ascii="Times New Roman" w:hAnsi="Times New Roman"/>
          <w:sz w:val="24"/>
          <w:szCs w:val="24"/>
        </w:rPr>
        <w:t>Напомним, что «Балтийский лизинг» предлагает своим клиентам порядка 40 специальных </w:t>
      </w:r>
      <w:hyperlink r:id="rId9" w:history="1">
        <w:r w:rsidRPr="002A2F06">
          <w:rPr>
            <w:rStyle w:val="a9"/>
            <w:rFonts w:ascii="Times New Roman" w:hAnsi="Times New Roman"/>
            <w:sz w:val="24"/>
            <w:szCs w:val="24"/>
          </w:rPr>
          <w:t>программ</w:t>
        </w:r>
      </w:hyperlink>
      <w:r w:rsidRPr="002A2F06">
        <w:rPr>
          <w:rFonts w:ascii="Times New Roman" w:hAnsi="Times New Roman"/>
          <w:sz w:val="24"/>
          <w:szCs w:val="24"/>
        </w:rPr>
        <w:t>, с помощью которых предприниматели смогут на выгодных условиях обновить свои активы.</w:t>
      </w:r>
    </w:p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A2F06">
        <w:rPr>
          <w:rFonts w:ascii="Times New Roman" w:hAnsi="Times New Roman"/>
          <w:b/>
          <w:sz w:val="24"/>
          <w:szCs w:val="24"/>
        </w:rPr>
        <w:t>Справка:</w:t>
      </w:r>
    </w:p>
    <w:p w:rsidR="004C6E08" w:rsidRPr="002A2F06" w:rsidRDefault="004C6E08" w:rsidP="004C6E08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2A2F06">
        <w:rPr>
          <w:rFonts w:ascii="Times New Roman" w:hAnsi="Times New Roman"/>
          <w:sz w:val="20"/>
          <w:szCs w:val="20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4C6E0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4C6E08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>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4C6E08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Контакты </w:t>
      </w:r>
      <w:r w:rsidR="00042ED2" w:rsidRPr="00DA4825">
        <w:rPr>
          <w:rFonts w:ascii="Times New Roman" w:hAnsi="Times New Roman"/>
          <w:b/>
          <w:sz w:val="24"/>
          <w:szCs w:val="24"/>
        </w:rPr>
        <w:t>пресс-службы:</w:t>
      </w:r>
    </w:p>
    <w:p w:rsidR="00042ED2" w:rsidRPr="00DA4825" w:rsidRDefault="004D2DDD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650E94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650E94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650E9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299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01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04CE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C6E0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6B0A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E94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192E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mercedes-benz-actro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7327-4A4E-4639-86FB-B8733AC2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393</cp:revision>
  <dcterms:created xsi:type="dcterms:W3CDTF">2018-07-26T07:30:00Z</dcterms:created>
  <dcterms:modified xsi:type="dcterms:W3CDTF">2019-11-22T09:04:00Z</dcterms:modified>
</cp:coreProperties>
</file>