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153" w:rsidRDefault="00F8510D">
      <w:pPr>
        <w:spacing w:before="200" w:after="200"/>
        <w:rPr>
          <w:b/>
          <w:color w:val="999999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BE5153" w:rsidRDefault="00BE5153">
      <w:pPr>
        <w:spacing w:line="259" w:lineRule="auto"/>
        <w:rPr>
          <w:b/>
          <w:sz w:val="16"/>
          <w:szCs w:val="16"/>
        </w:rPr>
      </w:pPr>
    </w:p>
    <w:p w:rsidR="00BE5153" w:rsidRDefault="00F8510D">
      <w:pPr>
        <w:spacing w:after="12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Авито</w:t>
      </w:r>
      <w:proofErr w:type="spellEnd"/>
      <w:r>
        <w:rPr>
          <w:b/>
          <w:sz w:val="24"/>
          <w:szCs w:val="24"/>
        </w:rPr>
        <w:t xml:space="preserve"> Недвижимость»: цены на долгосрочную аренду квартир в Иваново снизились на 4%</w:t>
      </w:r>
    </w:p>
    <w:p w:rsidR="00BE5153" w:rsidRDefault="00F8510D">
      <w:pPr>
        <w:spacing w:after="120"/>
        <w:jc w:val="both"/>
        <w:rPr>
          <w:i/>
        </w:rPr>
      </w:pPr>
      <w:bookmarkStart w:id="1" w:name="_heading=h.x9mg5hy483y" w:colFirst="0" w:colLast="0"/>
      <w:bookmarkEnd w:id="1"/>
      <w:r>
        <w:rPr>
          <w:i/>
        </w:rPr>
        <w:t>По сравнению с сентябрем 2024 года самое заметное снижение цен на долгосрочную аренду жилья зафиксировали в Самаре, Сочи и Калуге. Почти во всех городах исследования стоимость аренды снизилась или не изменилась.</w:t>
      </w:r>
    </w:p>
    <w:p w:rsidR="00BE5153" w:rsidRDefault="00F8510D">
      <w:pPr>
        <w:spacing w:after="120"/>
        <w:jc w:val="both"/>
      </w:pPr>
      <w:r>
        <w:t>Аналитики «</w:t>
      </w:r>
      <w:proofErr w:type="spellStart"/>
      <w:r>
        <w:t>Авито</w:t>
      </w:r>
      <w:proofErr w:type="spellEnd"/>
      <w:r>
        <w:t xml:space="preserve"> Недвижимости» подвели итоги октября 2024 года на рынке долгосрочной аренды жилья. По сравнению с предыдущим месяцем </w:t>
      </w:r>
      <w:r>
        <w:rPr>
          <w:b/>
        </w:rPr>
        <w:t>предложение</w:t>
      </w:r>
      <w:r>
        <w:t xml:space="preserve"> в среднем по России увеличилось на 10%. Самая заметная динамика — в Сочи (+40%), Ставрополе (+26%), Кемерове (+25%), Томске (+22%), Новосибирске и Барнауле (+20% в обоих городах). В Москве предложение за месяц выросло на 15%, в </w:t>
      </w:r>
      <w:r>
        <w:rPr>
          <w:b/>
        </w:rPr>
        <w:t xml:space="preserve">Иванове </w:t>
      </w:r>
      <w:r>
        <w:t xml:space="preserve">— на 10%. Подробнее — в таблице 1. </w:t>
      </w:r>
    </w:p>
    <w:p w:rsidR="00BE5153" w:rsidRDefault="00F8510D">
      <w:pPr>
        <w:spacing w:after="120"/>
        <w:jc w:val="both"/>
      </w:pPr>
      <w:r>
        <w:rPr>
          <w:b/>
        </w:rPr>
        <w:t>Стоимость</w:t>
      </w:r>
      <w:r>
        <w:t xml:space="preserve"> аренды жилья по сравнению с сентябрем 2024 года снизилась на 6% и составила 33 тысячи рублей в среднем по стране. При этом в 21 из 42 городов, попавших в исследование «</w:t>
      </w:r>
      <w:proofErr w:type="spellStart"/>
      <w:r>
        <w:t>Авито</w:t>
      </w:r>
      <w:proofErr w:type="spellEnd"/>
      <w:r>
        <w:t xml:space="preserve"> Недвижимости», цена за месяц снизилась: в Самаре — на 14%, в Сочи и Калуге — на 13% в каждом, в Ставрополе — на 11%, в Тюмени — на 10%, в Томске и Туле — на 9%. Отдельно </w:t>
      </w:r>
      <w:r>
        <w:rPr>
          <w:b/>
        </w:rPr>
        <w:t xml:space="preserve">в Иванове </w:t>
      </w:r>
      <w:r>
        <w:t>средняя ставка аренды за месяц снизилась на 4% и составила 22 тысячи рублей в месяц. Информация по другим городам представлена в таблице 1.</w:t>
      </w:r>
    </w:p>
    <w:p w:rsidR="00BE5153" w:rsidRDefault="00F8510D">
      <w:pPr>
        <w:spacing w:after="120"/>
        <w:jc w:val="both"/>
      </w:pPr>
      <w:r>
        <w:t>По данным «</w:t>
      </w:r>
      <w:proofErr w:type="spellStart"/>
      <w:r>
        <w:t>Авито</w:t>
      </w:r>
      <w:proofErr w:type="spellEnd"/>
      <w:r>
        <w:t xml:space="preserve"> Недвижимости», дешевле всего снять квартиру в октябре 2024 года можно было в Калуге и Кирове (по 20 тыс. рублей), Ярославле, Ульяновске и Смоленске (по 23 тыс. рублей). Самые высокие средние цены по итогам октября были зафиксированы в Москве (83 тыс. рублей), Санкт-Петербурге (43 тыс. рублей), Казани (40 тыс. рублей), Сочи (39 тыс. рублей) и Нижнем Новгороде (37 тыс. рублей). Информация по стоимости аренды однокомнатных квартир представлена на графике, средние цены в других городах — в таблице 1.</w:t>
      </w:r>
    </w:p>
    <w:p w:rsidR="00BE5153" w:rsidRDefault="00F8510D">
      <w:pPr>
        <w:spacing w:after="120"/>
        <w:jc w:val="center"/>
      </w:pPr>
      <w:r>
        <w:rPr>
          <w:noProof/>
        </w:rPr>
        <w:drawing>
          <wp:inline distT="114300" distB="114300" distL="114300" distR="114300">
            <wp:extent cx="5238433" cy="289984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433" cy="2899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5153" w:rsidRDefault="00F8510D">
      <w:pPr>
        <w:spacing w:after="120"/>
        <w:jc w:val="both"/>
        <w:rPr>
          <w:i/>
        </w:rPr>
      </w:pPr>
      <w:r>
        <w:rPr>
          <w:i/>
        </w:rPr>
        <w:lastRenderedPageBreak/>
        <w:t xml:space="preserve">«Снижение цен на долгосрочную аренду по итогам октября связано с окончанием высокого сезона, за которым последовала корректировка спроса при одновременном росте предложения. Пик активности арендаторов остался в сентябре, после чего на платформе появилось больше доступных вариантов для найма. На снижение стоимости в будущих периодах может повлиять дальнейшее увеличение предложения. С одной стороны, наблюдается рост количества новостроек, которые выходят на рынок долгосрочной аренды. С другой — многие собственники принимают решение не продавать вторичное жилье, а сдавать его в аренду, это один из главных трендов текущего года», </w:t>
      </w:r>
      <w:r>
        <w:rPr>
          <w:b/>
          <w:i/>
        </w:rPr>
        <w:t>— прокомментировал Константин Каменев, руководитель категории долгосрочной аренды «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Недвижимости».</w:t>
      </w:r>
    </w:p>
    <w:p w:rsidR="00BE5153" w:rsidRDefault="00BE5153">
      <w:pPr>
        <w:spacing w:after="120"/>
        <w:jc w:val="center"/>
        <w:rPr>
          <w:b/>
          <w:sz w:val="2"/>
          <w:szCs w:val="2"/>
        </w:rPr>
      </w:pPr>
    </w:p>
    <w:p w:rsidR="00BE5153" w:rsidRDefault="00F8510D">
      <w:pPr>
        <w:spacing w:after="120"/>
        <w:jc w:val="center"/>
        <w:rPr>
          <w:b/>
        </w:rPr>
      </w:pPr>
      <w:bookmarkStart w:id="2" w:name="_heading=h.2et92p0" w:colFirst="0" w:colLast="0"/>
      <w:bookmarkEnd w:id="2"/>
      <w:r>
        <w:rPr>
          <w:b/>
        </w:rPr>
        <w:t>Таблица 1. Динамика показателей рынка долгосрочной аренды квартир по городам, данные «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Недвижимости» за октябрь 2024 года</w:t>
      </w:r>
    </w:p>
    <w:tbl>
      <w:tblPr>
        <w:tblStyle w:val="af3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2250"/>
        <w:gridCol w:w="1860"/>
        <w:gridCol w:w="1860"/>
      </w:tblGrid>
      <w:tr w:rsidR="00BE5153">
        <w:trPr>
          <w:trHeight w:val="840"/>
        </w:trPr>
        <w:tc>
          <w:tcPr>
            <w:tcW w:w="33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bookmarkStart w:id="3" w:name="_heading=h.je55jmk8c00h" w:colFirst="0" w:colLast="0"/>
            <w:bookmarkEnd w:id="3"/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225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динамика предложения за месяц</w:t>
            </w:r>
          </w:p>
        </w:tc>
        <w:tc>
          <w:tcPr>
            <w:tcW w:w="1860" w:type="dxa"/>
            <w:tcBorders>
              <w:top w:val="single" w:sz="6" w:space="0" w:color="BFBFBF"/>
              <w:left w:val="nil"/>
              <w:bottom w:val="single" w:sz="8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в месяц, тысяч рублей</w:t>
            </w:r>
          </w:p>
        </w:tc>
        <w:tc>
          <w:tcPr>
            <w:tcW w:w="1860" w:type="dxa"/>
            <w:tcBorders>
              <w:top w:val="single" w:sz="6" w:space="0" w:color="BFBFBF"/>
              <w:left w:val="nil"/>
              <w:bottom w:val="single" w:sz="8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динамика цены за месяц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Астрахань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Барнаул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Грозный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Иркутск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Махачкала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Нижний Новгород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Ростов</w:t>
            </w:r>
            <w:proofErr w:type="spellEnd"/>
            <w:r>
              <w:rPr>
                <w:sz w:val="18"/>
                <w:szCs w:val="18"/>
              </w:rPr>
              <w:t>-на-Дону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Севастополь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Симферополь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Тюмень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Улан-Удэ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-7%</w:t>
            </w:r>
          </w:p>
        </w:tc>
      </w:tr>
      <w:tr w:rsidR="00BE5153">
        <w:tc>
          <w:tcPr>
            <w:tcW w:w="3315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8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153" w:rsidRDefault="00F8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-8%</w:t>
            </w:r>
          </w:p>
        </w:tc>
      </w:tr>
    </w:tbl>
    <w:p w:rsidR="00BE5153" w:rsidRDefault="00BE5153">
      <w:pPr>
        <w:spacing w:after="120"/>
        <w:jc w:val="center"/>
        <w:rPr>
          <w:b/>
        </w:rPr>
      </w:pPr>
    </w:p>
    <w:p w:rsidR="00BE5153" w:rsidRDefault="00BE5153">
      <w:pPr>
        <w:spacing w:after="120"/>
        <w:jc w:val="center"/>
        <w:rPr>
          <w:b/>
          <w:i/>
          <w:color w:val="000000"/>
        </w:rPr>
      </w:pPr>
    </w:p>
    <w:p w:rsidR="00BE5153" w:rsidRDefault="00F8510D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 xml:space="preserve"> Недвижимости»</w:t>
      </w:r>
    </w:p>
    <w:p w:rsidR="00BE5153" w:rsidRDefault="00F8510D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Недвижимость» — федеральная платформа, представляющая все категории недвижимости в любой точке России. Каждый месяц в раздел «Недвижимость» на платформе заходят 45,8 млн человек. В среднем ежемесячно (май 2024) на «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Недвижимость» было доступно более 3,1 млн активных предложений, которые суммарно собрали более 1,5 млрд просмотров. Ежедневно пользователи размещали на платформе более 31 000 новых объявлений о продаже и аренде недвижимости.  </w:t>
      </w:r>
    </w:p>
    <w:p w:rsidR="00BE5153" w:rsidRDefault="00F8510D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>»</w:t>
      </w:r>
    </w:p>
    <w:p w:rsidR="00BE5153" w:rsidRDefault="00F8510D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Согласно данным </w:t>
      </w:r>
      <w:proofErr w:type="spellStart"/>
      <w:r>
        <w:rPr>
          <w:i/>
          <w:color w:val="000000"/>
          <w:sz w:val="18"/>
          <w:szCs w:val="18"/>
        </w:rPr>
        <w:t>Similar</w:t>
      </w:r>
      <w:proofErr w:type="spellEnd"/>
      <w:r>
        <w:rPr>
          <w:i/>
          <w:color w:val="000000"/>
          <w:sz w:val="18"/>
          <w:szCs w:val="18"/>
        </w:rPr>
        <w:t xml:space="preserve"> Web,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 самая популярная онлайн-платформа объявлений в мире. Сегодня с помощью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с Доставкой.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BE5153" w:rsidRDefault="00F8510D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сегодня — более 220 млн, ежемесячная аудитория — более 72 млн пользователей. Каждую секунду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работает более 10 000 сотрудников.</w:t>
      </w:r>
    </w:p>
    <w:p w:rsidR="00BE5153" w:rsidRDefault="00F8510D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За дополнительной информацией, пожалуйста, обращайтесь:</w:t>
      </w:r>
    </w:p>
    <w:p w:rsidR="006C3814" w:rsidRPr="001A1C00" w:rsidRDefault="006C3814" w:rsidP="006C38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Марина Цуканова, пресс-офис </w:t>
      </w:r>
      <w:proofErr w:type="spellStart"/>
      <w:r w:rsidRPr="001A1C00">
        <w:rPr>
          <w:rFonts w:eastAsia="Times New Roman"/>
          <w:i/>
          <w:iCs/>
          <w:color w:val="000000"/>
          <w:sz w:val="20"/>
          <w:szCs w:val="20"/>
        </w:rPr>
        <w:t>Авито</w:t>
      </w:r>
      <w:proofErr w:type="spellEnd"/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 по ЦФО</w:t>
      </w:r>
    </w:p>
    <w:p w:rsidR="006C3814" w:rsidRPr="001A1C00" w:rsidRDefault="006C3814" w:rsidP="006C381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</w:rPr>
        <w:t>тел</w:t>
      </w:r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.:+</w:t>
      </w:r>
      <w:proofErr w:type="gramEnd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79803412843</w:t>
      </w:r>
    </w:p>
    <w:p w:rsidR="00193E09" w:rsidRDefault="006C3814" w:rsidP="00193E09">
      <w:pPr>
        <w:jc w:val="both"/>
        <w:rPr>
          <w:rFonts w:eastAsia="Times New Roman"/>
          <w:i/>
          <w:iCs/>
          <w:color w:val="1155CC"/>
          <w:sz w:val="20"/>
          <w:szCs w:val="20"/>
          <w:u w:val="single"/>
          <w:shd w:val="clear" w:color="auto" w:fill="FFFFFF"/>
        </w:rPr>
      </w:pPr>
      <w:r w:rsidRPr="001A1C00">
        <w:rPr>
          <w:rFonts w:eastAsia="Times New Roman"/>
          <w:i/>
          <w:iCs/>
          <w:color w:val="000000"/>
          <w:sz w:val="20"/>
          <w:szCs w:val="20"/>
          <w:lang w:val="en-US"/>
        </w:rPr>
        <w:t>E</w:t>
      </w:r>
      <w:r w:rsidRPr="00193E09">
        <w:rPr>
          <w:rFonts w:eastAsia="Times New Roman"/>
          <w:i/>
          <w:iCs/>
          <w:color w:val="000000"/>
          <w:sz w:val="20"/>
          <w:szCs w:val="20"/>
        </w:rPr>
        <w:t>-</w:t>
      </w:r>
      <w:r w:rsidRPr="001A1C00">
        <w:rPr>
          <w:rFonts w:eastAsia="Times New Roman"/>
          <w:i/>
          <w:iCs/>
          <w:color w:val="000000"/>
          <w:sz w:val="20"/>
          <w:szCs w:val="20"/>
          <w:lang w:val="en-US"/>
        </w:rPr>
        <w:t>mail</w:t>
      </w:r>
      <w:r w:rsidRPr="00193E09">
        <w:rPr>
          <w:rFonts w:eastAsia="Times New Roman"/>
          <w:i/>
          <w:iCs/>
          <w:color w:val="000000"/>
          <w:sz w:val="20"/>
          <w:szCs w:val="20"/>
        </w:rPr>
        <w:t>:</w:t>
      </w:r>
      <w:r w:rsidRPr="00193E09">
        <w:rPr>
          <w:rFonts w:eastAsia="Times New Roman"/>
          <w:i/>
          <w:iCs/>
          <w:color w:val="0000FF"/>
          <w:sz w:val="20"/>
          <w:szCs w:val="20"/>
        </w:rPr>
        <w:t xml:space="preserve"> </w:t>
      </w:r>
      <w:hyperlink r:id="rId9" w:history="1">
        <w:r w:rsidRPr="001A1C00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  <w:lang w:val="en-US"/>
          </w:rPr>
          <w:t>maltsukanova</w:t>
        </w:r>
        <w:r w:rsidRPr="00193E09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</w:rPr>
          <w:t>@</w:t>
        </w:r>
        <w:r w:rsidRPr="001A1C00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  <w:lang w:val="en-US"/>
          </w:rPr>
          <w:t>avito</w:t>
        </w:r>
        <w:r w:rsidRPr="00193E09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1A1C00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193E09" w:rsidRDefault="00193E09" w:rsidP="00193E09">
      <w:pPr>
        <w:spacing w:line="240" w:lineRule="auto"/>
        <w:rPr>
          <w:bCs/>
          <w:i/>
          <w:iCs/>
        </w:rPr>
      </w:pPr>
    </w:p>
    <w:p w:rsidR="00193E09" w:rsidRPr="00193E09" w:rsidRDefault="00193E09" w:rsidP="00193E09">
      <w:pPr>
        <w:spacing w:line="240" w:lineRule="auto"/>
        <w:rPr>
          <w:rFonts w:eastAsia="Times New Roman"/>
          <w:bCs/>
          <w:i/>
          <w:iCs/>
          <w:color w:val="1155CC"/>
          <w:sz w:val="20"/>
          <w:szCs w:val="20"/>
          <w:u w:val="single"/>
          <w:shd w:val="clear" w:color="auto" w:fill="FFFFFF"/>
        </w:rPr>
      </w:pPr>
      <w:r w:rsidRPr="00193E09">
        <w:rPr>
          <w:bCs/>
          <w:i/>
          <w:iCs/>
          <w:sz w:val="20"/>
          <w:szCs w:val="20"/>
        </w:rPr>
        <w:t xml:space="preserve">София </w:t>
      </w:r>
      <w:proofErr w:type="gramStart"/>
      <w:r w:rsidRPr="00193E09">
        <w:rPr>
          <w:bCs/>
          <w:i/>
          <w:iCs/>
          <w:sz w:val="20"/>
          <w:szCs w:val="20"/>
        </w:rPr>
        <w:t>Серебряная</w:t>
      </w:r>
      <w:r w:rsidRPr="00193E09">
        <w:rPr>
          <w:bCs/>
          <w:i/>
          <w:iCs/>
          <w:sz w:val="20"/>
          <w:szCs w:val="20"/>
        </w:rPr>
        <w:t xml:space="preserve"> ,в</w:t>
      </w:r>
      <w:r w:rsidRPr="00193E09">
        <w:rPr>
          <w:bCs/>
          <w:i/>
          <w:iCs/>
          <w:sz w:val="20"/>
          <w:szCs w:val="20"/>
        </w:rPr>
        <w:t>нешняя</w:t>
      </w:r>
      <w:proofErr w:type="gramEnd"/>
      <w:r w:rsidRPr="00193E09">
        <w:rPr>
          <w:bCs/>
          <w:i/>
          <w:iCs/>
          <w:sz w:val="20"/>
          <w:szCs w:val="20"/>
        </w:rPr>
        <w:t xml:space="preserve"> пресс-служба </w:t>
      </w:r>
      <w:proofErr w:type="spellStart"/>
      <w:r w:rsidRPr="00193E09">
        <w:rPr>
          <w:bCs/>
          <w:i/>
          <w:iCs/>
          <w:sz w:val="20"/>
          <w:szCs w:val="20"/>
        </w:rPr>
        <w:t>Авито</w:t>
      </w:r>
      <w:proofErr w:type="spellEnd"/>
      <w:r w:rsidRPr="00193E09">
        <w:rPr>
          <w:bCs/>
          <w:i/>
          <w:iCs/>
          <w:sz w:val="20"/>
          <w:szCs w:val="20"/>
        </w:rPr>
        <w:t xml:space="preserve"> по ЦФО</w:t>
      </w:r>
    </w:p>
    <w:p w:rsidR="00193E09" w:rsidRPr="00193E09" w:rsidRDefault="00193E09" w:rsidP="00193E09">
      <w:pPr>
        <w:rPr>
          <w:bCs/>
          <w:i/>
          <w:iCs/>
          <w:sz w:val="20"/>
          <w:szCs w:val="20"/>
          <w:lang w:val="en-US"/>
        </w:rPr>
      </w:pPr>
      <w:proofErr w:type="gramStart"/>
      <w:r w:rsidRPr="00193E09">
        <w:rPr>
          <w:bCs/>
          <w:i/>
          <w:iCs/>
          <w:sz w:val="20"/>
          <w:szCs w:val="20"/>
        </w:rPr>
        <w:t>тел</w:t>
      </w:r>
      <w:r w:rsidRPr="00193E09">
        <w:rPr>
          <w:bCs/>
          <w:i/>
          <w:iCs/>
          <w:sz w:val="20"/>
          <w:szCs w:val="20"/>
          <w:lang w:val="en-US"/>
        </w:rPr>
        <w:t xml:space="preserve">. </w:t>
      </w:r>
      <w:r w:rsidRPr="00193E09">
        <w:rPr>
          <w:bCs/>
          <w:i/>
          <w:iCs/>
          <w:sz w:val="20"/>
          <w:szCs w:val="20"/>
          <w:lang w:val="en-US"/>
        </w:rPr>
        <w:t>:</w:t>
      </w:r>
      <w:proofErr w:type="gramEnd"/>
      <w:r w:rsidRPr="00193E09">
        <w:rPr>
          <w:bCs/>
          <w:i/>
          <w:iCs/>
          <w:sz w:val="20"/>
          <w:szCs w:val="20"/>
          <w:lang w:val="en-US"/>
        </w:rPr>
        <w:t xml:space="preserve"> + 7 915 378 66 59</w:t>
      </w:r>
    </w:p>
    <w:p w:rsidR="00BE5153" w:rsidRPr="00193E09" w:rsidRDefault="00193E09" w:rsidP="00193E09">
      <w:pPr>
        <w:rPr>
          <w:bCs/>
          <w:i/>
          <w:iCs/>
          <w:sz w:val="20"/>
          <w:szCs w:val="20"/>
          <w:lang w:val="en-US"/>
        </w:rPr>
      </w:pPr>
      <w:r w:rsidRPr="00193E09">
        <w:rPr>
          <w:bCs/>
          <w:i/>
          <w:iCs/>
          <w:sz w:val="20"/>
          <w:szCs w:val="20"/>
          <w:lang w:val="en-US"/>
        </w:rPr>
        <w:t>E-mail sonya.s@redline-pr.ru</w:t>
      </w:r>
    </w:p>
    <w:sectPr w:rsidR="00BE5153" w:rsidRPr="00193E09">
      <w:headerReference w:type="default" r:id="rId10"/>
      <w:headerReference w:type="first" r:id="rId11"/>
      <w:footerReference w:type="first" r:id="rId12"/>
      <w:pgSz w:w="11909" w:h="16834"/>
      <w:pgMar w:top="1133" w:right="1531" w:bottom="1390" w:left="1133" w:header="4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248C" w:rsidRDefault="00EF248C">
      <w:pPr>
        <w:spacing w:line="240" w:lineRule="auto"/>
      </w:pPr>
      <w:r>
        <w:separator/>
      </w:r>
    </w:p>
  </w:endnote>
  <w:endnote w:type="continuationSeparator" w:id="0">
    <w:p w:rsidR="00EF248C" w:rsidRDefault="00EF2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5153" w:rsidRDefault="00BE51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248C" w:rsidRDefault="00EF248C">
      <w:pPr>
        <w:spacing w:line="240" w:lineRule="auto"/>
      </w:pPr>
      <w:r>
        <w:separator/>
      </w:r>
    </w:p>
  </w:footnote>
  <w:footnote w:type="continuationSeparator" w:id="0">
    <w:p w:rsidR="00EF248C" w:rsidRDefault="00EF2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5153" w:rsidRDefault="00BE51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5153" w:rsidRDefault="00F8510D">
    <w:pPr>
      <w:jc w:val="center"/>
    </w:pPr>
    <w:r>
      <w:rPr>
        <w:noProof/>
      </w:rPr>
      <w:drawing>
        <wp:inline distT="114300" distB="114300" distL="114300" distR="114300">
          <wp:extent cx="1682587" cy="433657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587" cy="43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5153" w:rsidRDefault="00BE5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53"/>
    <w:rsid w:val="00152794"/>
    <w:rsid w:val="00193E09"/>
    <w:rsid w:val="006C3814"/>
    <w:rsid w:val="00BE5153"/>
    <w:rsid w:val="00EF248C"/>
    <w:rsid w:val="00F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718D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76268C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626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6268C"/>
    <w:rPr>
      <w:vertAlign w:val="superscript"/>
    </w:rPr>
  </w:style>
  <w:style w:type="table" w:styleId="aa">
    <w:name w:val="Grid Table Light"/>
    <w:basedOn w:val="a1"/>
    <w:uiPriority w:val="40"/>
    <w:rsid w:val="001D0E8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rmal (Web)"/>
    <w:basedOn w:val="a"/>
    <w:uiPriority w:val="99"/>
    <w:semiHidden/>
    <w:unhideWhenUsed/>
    <w:rsid w:val="001D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D0E86"/>
    <w:rPr>
      <w:color w:val="0000FF"/>
      <w:u w:val="single"/>
    </w:rPr>
  </w:style>
  <w:style w:type="table" w:customStyle="1" w:styleId="ad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tsukanova@avito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1KORZJ5bwB2Zb1la61Dik4/ug==">CgMxLjAyCGguZ2pkZ3hzMg1oLng5bWc1aHk0ODN5MgloLjJldDkycDAyDmguamU1NWptazhjMDBoOAByITF4eUN5N0FtNW9HeS03OXM4S1gyemhib1E1Z2V1dmloUw==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Microsoft Office User</cp:lastModifiedBy>
  <cp:revision>3</cp:revision>
  <dcterms:created xsi:type="dcterms:W3CDTF">2024-11-06T16:45:00Z</dcterms:created>
  <dcterms:modified xsi:type="dcterms:W3CDTF">2024-11-14T10:04:00Z</dcterms:modified>
</cp:coreProperties>
</file>