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14594">
        <w:rPr>
          <w:rFonts w:ascii="Times New Roman" w:hAnsi="Times New Roman"/>
          <w:b/>
          <w:sz w:val="24"/>
          <w:szCs w:val="24"/>
        </w:rPr>
        <w:t xml:space="preserve">«Балтийский лизинг» вновь вошел в топ-3 отраслевого </w:t>
      </w:r>
      <w:proofErr w:type="spellStart"/>
      <w:r w:rsidRPr="00214594">
        <w:rPr>
          <w:rFonts w:ascii="Times New Roman" w:hAnsi="Times New Roman"/>
          <w:b/>
          <w:sz w:val="24"/>
          <w:szCs w:val="24"/>
        </w:rPr>
        <w:t>медиарейтинга</w:t>
      </w:r>
      <w:proofErr w:type="spellEnd"/>
      <w:r w:rsidRPr="00214594">
        <w:rPr>
          <w:rFonts w:ascii="Times New Roman" w:hAnsi="Times New Roman"/>
          <w:b/>
          <w:sz w:val="24"/>
          <w:szCs w:val="24"/>
        </w:rPr>
        <w:t xml:space="preserve"> по итогам марта</w:t>
      </w:r>
    </w:p>
    <w:p w:rsidR="00214594" w:rsidRPr="00214594" w:rsidRDefault="00D0751B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4594">
        <w:rPr>
          <w:rFonts w:ascii="Times New Roman" w:hAnsi="Times New Roman"/>
          <w:b/>
          <w:sz w:val="24"/>
          <w:szCs w:val="24"/>
        </w:rPr>
        <w:t>С</w:t>
      </w:r>
      <w:r w:rsidR="00763043" w:rsidRPr="00214594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6F5976" w:rsidRPr="00214594">
        <w:rPr>
          <w:rFonts w:ascii="Times New Roman" w:hAnsi="Times New Roman"/>
          <w:b/>
          <w:sz w:val="24"/>
          <w:szCs w:val="24"/>
        </w:rPr>
        <w:t>1</w:t>
      </w:r>
      <w:r w:rsidR="00214594" w:rsidRPr="00214594">
        <w:rPr>
          <w:rFonts w:ascii="Times New Roman" w:hAnsi="Times New Roman"/>
          <w:b/>
          <w:sz w:val="24"/>
          <w:szCs w:val="24"/>
        </w:rPr>
        <w:t>4</w:t>
      </w:r>
      <w:r w:rsidR="005E6D26" w:rsidRPr="00214594">
        <w:rPr>
          <w:rFonts w:ascii="Times New Roman" w:hAnsi="Times New Roman"/>
          <w:b/>
          <w:sz w:val="24"/>
          <w:szCs w:val="24"/>
        </w:rPr>
        <w:t xml:space="preserve"> апреля</w:t>
      </w:r>
      <w:r w:rsidR="000F62C2" w:rsidRPr="00214594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214594">
        <w:rPr>
          <w:rFonts w:ascii="Times New Roman" w:hAnsi="Times New Roman"/>
          <w:b/>
          <w:sz w:val="24"/>
          <w:szCs w:val="24"/>
        </w:rPr>
        <w:t>2021</w:t>
      </w:r>
      <w:r w:rsidR="00763043" w:rsidRPr="00214594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214594">
        <w:rPr>
          <w:rFonts w:ascii="Times New Roman" w:hAnsi="Times New Roman"/>
          <w:b/>
          <w:sz w:val="24"/>
          <w:szCs w:val="24"/>
        </w:rPr>
        <w:t>.</w:t>
      </w:r>
      <w:r w:rsidR="00A701F0" w:rsidRPr="00214594">
        <w:rPr>
          <w:rFonts w:ascii="Times New Roman" w:hAnsi="Times New Roman"/>
          <w:sz w:val="24"/>
          <w:szCs w:val="24"/>
        </w:rPr>
        <w:t xml:space="preserve"> </w:t>
      </w:r>
      <w:r w:rsidR="00214594" w:rsidRPr="00214594">
        <w:rPr>
          <w:rFonts w:ascii="Times New Roman" w:hAnsi="Times New Roman"/>
          <w:sz w:val="24"/>
          <w:szCs w:val="24"/>
        </w:rPr>
        <w:t>«Балтийский лизинг» продолжает удерживать высокие позиции в </w:t>
      </w:r>
      <w:proofErr w:type="spellStart"/>
      <w:r w:rsidR="00214594" w:rsidRPr="00214594">
        <w:rPr>
          <w:rFonts w:ascii="Times New Roman" w:hAnsi="Times New Roman"/>
          <w:sz w:val="24"/>
          <w:szCs w:val="24"/>
        </w:rPr>
        <w:t>медиарейтинге</w:t>
      </w:r>
      <w:proofErr w:type="spellEnd"/>
      <w:r w:rsidR="00214594" w:rsidRPr="00214594">
        <w:rPr>
          <w:rFonts w:ascii="Times New Roman" w:hAnsi="Times New Roman"/>
          <w:sz w:val="24"/>
          <w:szCs w:val="24"/>
        </w:rPr>
        <w:t xml:space="preserve"> ведущих лизинговых компаний России. По итогам марта 2021 года организация заняла вторую строчку по количеству упоминаний в средствах массовой информации, также лизингодатель вошел в топ-5 компаний рейтинга заметности, расположившись на четвертом месте.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4594">
        <w:rPr>
          <w:rFonts w:ascii="Times New Roman" w:hAnsi="Times New Roman"/>
          <w:sz w:val="24"/>
          <w:szCs w:val="24"/>
        </w:rPr>
        <w:t xml:space="preserve">«Балтийский лизинг» </w:t>
      </w:r>
      <w:hyperlink r:id="rId8" w:history="1">
        <w:r w:rsidRPr="00214594">
          <w:rPr>
            <w:rStyle w:val="a9"/>
            <w:rFonts w:ascii="Times New Roman" w:hAnsi="Times New Roman"/>
            <w:sz w:val="24"/>
            <w:szCs w:val="24"/>
          </w:rPr>
          <w:t>за месяц</w:t>
        </w:r>
      </w:hyperlink>
      <w:r w:rsidRPr="00214594">
        <w:rPr>
          <w:rFonts w:ascii="Times New Roman" w:hAnsi="Times New Roman"/>
          <w:sz w:val="24"/>
          <w:szCs w:val="24"/>
        </w:rPr>
        <w:t xml:space="preserve"> улучшил свой результат, поднявшись на четыре строчки в рейтинге по индексу заметности. По числу упоминаний в федеральных и региональных СМИ компания поднялась на две позиции, за март 2021 года было зафиксировано 931 упоминание.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4594">
        <w:rPr>
          <w:rFonts w:ascii="Times New Roman" w:hAnsi="Times New Roman"/>
          <w:sz w:val="24"/>
          <w:szCs w:val="24"/>
        </w:rPr>
        <w:t xml:space="preserve">«Заметной новостью в информационном поле ГК «Балтийский лизинг» в марте стало расширение географии программы </w:t>
      </w:r>
      <w:hyperlink r:id="rId9" w:history="1">
        <w:r w:rsidRPr="00214594">
          <w:rPr>
            <w:rStyle w:val="a9"/>
            <w:rFonts w:ascii="Times New Roman" w:hAnsi="Times New Roman"/>
            <w:sz w:val="24"/>
            <w:szCs w:val="24"/>
          </w:rPr>
          <w:t>«Такси»</w:t>
        </w:r>
      </w:hyperlink>
      <w:r w:rsidRPr="00214594">
        <w:rPr>
          <w:rFonts w:ascii="Times New Roman" w:hAnsi="Times New Roman"/>
          <w:sz w:val="24"/>
          <w:szCs w:val="24"/>
        </w:rPr>
        <w:t xml:space="preserve">. Теперь программа для таксомоторных компаний актуальна не только в мегаполисах: ее условия распространяются на все города присутствия «Балтийского лизинга» с численностью населения от 300 тысяч человек», - говорится в сообщении </w:t>
      </w:r>
      <w:proofErr w:type="spellStart"/>
      <w:r w:rsidRPr="00214594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214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594">
        <w:rPr>
          <w:rFonts w:ascii="Times New Roman" w:hAnsi="Times New Roman"/>
          <w:sz w:val="24"/>
          <w:szCs w:val="24"/>
        </w:rPr>
        <w:t>FedLeasing.ru</w:t>
      </w:r>
      <w:proofErr w:type="spellEnd"/>
      <w:r w:rsidRPr="00214594">
        <w:rPr>
          <w:rFonts w:ascii="Times New Roman" w:hAnsi="Times New Roman"/>
          <w:sz w:val="24"/>
          <w:szCs w:val="24"/>
        </w:rPr>
        <w:t>. 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4594">
        <w:rPr>
          <w:rFonts w:ascii="Times New Roman" w:hAnsi="Times New Roman"/>
          <w:sz w:val="24"/>
          <w:szCs w:val="24"/>
        </w:rPr>
        <w:t xml:space="preserve">Также авторы исследования сообщают, что в числе популярных новостей в марте были публикации о планах руководства «Балтийского лизинга» по сохранению </w:t>
      </w:r>
      <w:hyperlink r:id="rId10" w:history="1">
        <w:r w:rsidRPr="00214594">
          <w:rPr>
            <w:rStyle w:val="a9"/>
            <w:rFonts w:ascii="Times New Roman" w:hAnsi="Times New Roman"/>
            <w:sz w:val="24"/>
            <w:szCs w:val="24"/>
          </w:rPr>
          <w:t>темпа роста не менее 14%</w:t>
        </w:r>
      </w:hyperlink>
      <w:r w:rsidRPr="00214594">
        <w:rPr>
          <w:rFonts w:ascii="Times New Roman" w:hAnsi="Times New Roman"/>
          <w:sz w:val="24"/>
          <w:szCs w:val="24"/>
        </w:rPr>
        <w:t xml:space="preserve"> в перспективе трех лет, также активно тиражировались новые предложения в продуктовой линейке компании. Например, «Балтийский лизинг» упростил условия сделок для новых клиентов в рамках программы </w:t>
      </w:r>
      <w:hyperlink r:id="rId11" w:history="1">
        <w:r w:rsidRPr="00214594">
          <w:rPr>
            <w:rStyle w:val="a9"/>
            <w:rFonts w:ascii="Times New Roman" w:hAnsi="Times New Roman"/>
            <w:sz w:val="24"/>
            <w:szCs w:val="24"/>
          </w:rPr>
          <w:t>«Все входящие свои»</w:t>
        </w:r>
      </w:hyperlink>
      <w:r w:rsidRPr="00214594">
        <w:rPr>
          <w:rFonts w:ascii="Times New Roman" w:hAnsi="Times New Roman"/>
          <w:sz w:val="24"/>
          <w:szCs w:val="24"/>
        </w:rPr>
        <w:t>.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4594">
        <w:rPr>
          <w:rFonts w:ascii="Times New Roman" w:hAnsi="Times New Roman"/>
          <w:sz w:val="24"/>
          <w:szCs w:val="24"/>
        </w:rPr>
        <w:t xml:space="preserve">Исследование было подготовлено на основе данных мониторинга и анализа СМИ и </w:t>
      </w:r>
      <w:proofErr w:type="spellStart"/>
      <w:r w:rsidRPr="00214594">
        <w:rPr>
          <w:rFonts w:ascii="Times New Roman" w:hAnsi="Times New Roman"/>
          <w:sz w:val="24"/>
          <w:szCs w:val="24"/>
        </w:rPr>
        <w:t>соцмедиа</w:t>
      </w:r>
      <w:proofErr w:type="spellEnd"/>
      <w:r w:rsidRPr="00214594">
        <w:rPr>
          <w:rFonts w:ascii="Times New Roman" w:hAnsi="Times New Roman"/>
          <w:sz w:val="24"/>
          <w:szCs w:val="24"/>
        </w:rPr>
        <w:t xml:space="preserve"> «СКАН-Интерфакс» по просьбе </w:t>
      </w:r>
      <w:proofErr w:type="spellStart"/>
      <w:r w:rsidRPr="00214594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214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594">
        <w:rPr>
          <w:rFonts w:ascii="Times New Roman" w:hAnsi="Times New Roman"/>
          <w:sz w:val="24"/>
          <w:szCs w:val="24"/>
        </w:rPr>
        <w:t>FedLeasing.ru</w:t>
      </w:r>
      <w:proofErr w:type="spellEnd"/>
      <w:r w:rsidRPr="00214594">
        <w:rPr>
          <w:rFonts w:ascii="Times New Roman" w:hAnsi="Times New Roman"/>
          <w:sz w:val="24"/>
          <w:szCs w:val="24"/>
        </w:rPr>
        <w:t xml:space="preserve">. Аналитики составили рейтинги на базе трех показателей: индекса </w:t>
      </w:r>
      <w:proofErr w:type="spellStart"/>
      <w:r w:rsidRPr="00214594">
        <w:rPr>
          <w:rFonts w:ascii="Times New Roman" w:hAnsi="Times New Roman"/>
          <w:sz w:val="24"/>
          <w:szCs w:val="24"/>
        </w:rPr>
        <w:t>упоминаемости</w:t>
      </w:r>
      <w:proofErr w:type="spellEnd"/>
      <w:r w:rsidRPr="00214594">
        <w:rPr>
          <w:rFonts w:ascii="Times New Roman" w:hAnsi="Times New Roman"/>
          <w:sz w:val="24"/>
          <w:szCs w:val="24"/>
        </w:rPr>
        <w:t xml:space="preserve"> в СМИ, индекса заметности и охвата аудитории. В </w:t>
      </w:r>
      <w:hyperlink r:id="rId12" w:tgtFrame="_blank" w:history="1">
        <w:r w:rsidRPr="00214594">
          <w:rPr>
            <w:rStyle w:val="a9"/>
            <w:rFonts w:ascii="Times New Roman" w:hAnsi="Times New Roman"/>
            <w:sz w:val="24"/>
            <w:szCs w:val="24"/>
          </w:rPr>
          <w:t>мартовском рейтинге</w:t>
        </w:r>
      </w:hyperlink>
      <w:r w:rsidRPr="00214594">
        <w:rPr>
          <w:rFonts w:ascii="Times New Roman" w:hAnsi="Times New Roman"/>
          <w:sz w:val="24"/>
          <w:szCs w:val="24"/>
        </w:rPr>
        <w:t> отражена работа 20 лизинговых компаний.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14594">
        <w:rPr>
          <w:rFonts w:ascii="Times New Roman" w:hAnsi="Times New Roman"/>
          <w:b/>
          <w:sz w:val="24"/>
          <w:szCs w:val="24"/>
        </w:rPr>
        <w:t>Справка: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</w:rPr>
      </w:pPr>
      <w:r w:rsidRPr="00214594">
        <w:rPr>
          <w:rFonts w:ascii="Times New Roman" w:hAnsi="Times New Roman"/>
        </w:rPr>
        <w:t xml:space="preserve">Индекс </w:t>
      </w:r>
      <w:proofErr w:type="spellStart"/>
      <w:r w:rsidRPr="00214594">
        <w:rPr>
          <w:rFonts w:ascii="Times New Roman" w:hAnsi="Times New Roman"/>
        </w:rPr>
        <w:t>упоминаемости</w:t>
      </w:r>
      <w:proofErr w:type="spellEnd"/>
      <w:r w:rsidRPr="00214594">
        <w:rPr>
          <w:rFonts w:ascii="Times New Roman" w:hAnsi="Times New Roman"/>
        </w:rPr>
        <w:t xml:space="preserve">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214594">
        <w:rPr>
          <w:rFonts w:ascii="Times New Roman" w:hAnsi="Times New Roman"/>
        </w:rPr>
        <w:t>медиаполе</w:t>
      </w:r>
      <w:proofErr w:type="spellEnd"/>
      <w:r w:rsidRPr="00214594">
        <w:rPr>
          <w:rFonts w:ascii="Times New Roman" w:hAnsi="Times New Roman"/>
        </w:rPr>
        <w:t xml:space="preserve"> среди конкурентов. В основе показателя лежит рейтинг источников по цитируемости, также учитывается влиятельность СМИ и роль компании в новости. Охват аудитории – среднесуточный показатель потенциальной аудитории СМИ на дату публикации.</w:t>
      </w:r>
    </w:p>
    <w:p w:rsidR="00214594" w:rsidRPr="00214594" w:rsidRDefault="00214594" w:rsidP="00214594">
      <w:pPr>
        <w:spacing w:after="240"/>
        <w:ind w:firstLine="0"/>
        <w:jc w:val="both"/>
        <w:rPr>
          <w:rFonts w:ascii="Times New Roman" w:hAnsi="Times New Roman"/>
        </w:rPr>
      </w:pPr>
      <w:r w:rsidRPr="00214594">
        <w:rPr>
          <w:rFonts w:ascii="Times New Roman" w:hAnsi="Times New Roman"/>
        </w:rPr>
        <w:t xml:space="preserve">СКАН - это система анализа </w:t>
      </w:r>
      <w:proofErr w:type="spellStart"/>
      <w:r w:rsidRPr="00214594">
        <w:rPr>
          <w:rFonts w:ascii="Times New Roman" w:hAnsi="Times New Roman"/>
        </w:rPr>
        <w:t>медиасреды</w:t>
      </w:r>
      <w:proofErr w:type="spellEnd"/>
      <w:r w:rsidRPr="00214594">
        <w:rPr>
          <w:rFonts w:ascii="Times New Roman" w:hAnsi="Times New Roman"/>
        </w:rPr>
        <w:t>, созданная информационным агентством «Интерфакс» для менеджеров по коммуникациям и PR.</w:t>
      </w:r>
    </w:p>
    <w:p w:rsidR="001237E2" w:rsidRDefault="00BC47D2" w:rsidP="0021459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3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2D1CB5" w:rsidP="000A6CD0">
      <w:pPr>
        <w:spacing w:after="240"/>
        <w:jc w:val="right"/>
      </w:pPr>
      <w:hyperlink r:id="rId14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BC" w:rsidRDefault="00477CBC" w:rsidP="007C7DE5">
      <w:r>
        <w:separator/>
      </w:r>
    </w:p>
  </w:endnote>
  <w:endnote w:type="continuationSeparator" w:id="0">
    <w:p w:rsidR="00477CBC" w:rsidRDefault="00477CBC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BC" w:rsidRDefault="00477CBC" w:rsidP="007C7DE5">
      <w:r>
        <w:separator/>
      </w:r>
    </w:p>
  </w:footnote>
  <w:footnote w:type="continuationSeparator" w:id="0">
    <w:p w:rsidR="00477CBC" w:rsidRDefault="00477CBC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BC" w:rsidRDefault="00477CBC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CBC" w:rsidRDefault="00477CBC">
    <w:pPr>
      <w:pStyle w:val="a3"/>
    </w:pPr>
  </w:p>
  <w:p w:rsidR="00477CBC" w:rsidRDefault="00477C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5814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59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40B6"/>
    <w:rsid w:val="006B626E"/>
    <w:rsid w:val="006B7C99"/>
    <w:rsid w:val="006C1973"/>
    <w:rsid w:val="006C358C"/>
    <w:rsid w:val="006C5BA7"/>
    <w:rsid w:val="006C61EF"/>
    <w:rsid w:val="006D01DA"/>
    <w:rsid w:val="006D0F2C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32518"/>
    <w:rsid w:val="00933240"/>
    <w:rsid w:val="009364A9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10B70"/>
    <w:rsid w:val="00A1655F"/>
    <w:rsid w:val="00A2044B"/>
    <w:rsid w:val="00A20645"/>
    <w:rsid w:val="00A20872"/>
    <w:rsid w:val="00A21415"/>
    <w:rsid w:val="00A21B73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42673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2CAE"/>
    <w:rsid w:val="00FA7E00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leasing.ru/articles/analitika/media-reytingi-lizingovykh-kompaniy-za-fevral-2021-goda/" TargetMode="External"/><Relationship Id="rId13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dleasing.ru/articles/analitika/media-reytingi-lizingovykh-kompaniy-za-mart-2021-god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2294343-baltiyskiy-lizing-uprostil-usloviya-sdelok-dlya-novykh-klientov-v-ramkakh-programmy-vse-vkhodyashch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press/news/2325577-baltiyskiy-lizing-planiruet-sokhranyat-temp-rosta-ne-menee-14-v-perspektive-trekh-l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2340628-baltiyskiy-lizing-rasshiril-geografiyu-programmy-taksi-/" TargetMode="External"/><Relationship Id="rId14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946C-E6E3-4DDF-BA70-4C454F67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556</cp:revision>
  <dcterms:created xsi:type="dcterms:W3CDTF">2018-07-26T07:30:00Z</dcterms:created>
  <dcterms:modified xsi:type="dcterms:W3CDTF">2021-04-14T08:41:00Z</dcterms:modified>
</cp:coreProperties>
</file>