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01" w:rsidRPr="005D1C33" w:rsidRDefault="009969E6" w:rsidP="005B7C51">
      <w:pPr>
        <w:pStyle w:val="a6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</w:rPr>
      </w:pPr>
    </w:p>
    <w:p w:rsidR="002A7401" w:rsidRPr="008F400F" w:rsidRDefault="007558A4" w:rsidP="005B7C51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8C2A8D">
        <w:rPr>
          <w:b/>
          <w:bCs/>
          <w:sz w:val="24"/>
          <w:szCs w:val="24"/>
        </w:rPr>
        <w:t xml:space="preserve"> апреля </w:t>
      </w:r>
      <w:r w:rsidR="002A7401" w:rsidRPr="008F400F">
        <w:rPr>
          <w:b/>
          <w:bCs/>
          <w:sz w:val="24"/>
          <w:szCs w:val="24"/>
        </w:rPr>
        <w:t xml:space="preserve">                             </w:t>
      </w:r>
      <w:r w:rsidR="002A7401">
        <w:rPr>
          <w:b/>
          <w:bCs/>
          <w:sz w:val="24"/>
          <w:szCs w:val="24"/>
        </w:rPr>
        <w:t xml:space="preserve">   </w:t>
      </w:r>
      <w:r w:rsidR="002A7401" w:rsidRPr="008F400F">
        <w:rPr>
          <w:b/>
          <w:bCs/>
          <w:sz w:val="24"/>
          <w:szCs w:val="24"/>
        </w:rPr>
        <w:t xml:space="preserve">                                      </w:t>
      </w:r>
      <w:r w:rsidR="002A7401">
        <w:rPr>
          <w:b/>
          <w:bCs/>
          <w:sz w:val="24"/>
          <w:szCs w:val="24"/>
        </w:rPr>
        <w:t xml:space="preserve">                       </w:t>
      </w:r>
      <w:r w:rsidR="002A7401" w:rsidRPr="008F400F">
        <w:rPr>
          <w:b/>
          <w:bCs/>
          <w:sz w:val="24"/>
          <w:szCs w:val="24"/>
        </w:rPr>
        <w:t>ПРЕСС-РЕЛИЗ</w:t>
      </w:r>
    </w:p>
    <w:p w:rsidR="002A7401" w:rsidRDefault="002A7401" w:rsidP="009B34EF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C2A8D" w:rsidRPr="0038047C" w:rsidRDefault="008C2A8D" w:rsidP="0038047C">
      <w:pPr>
        <w:jc w:val="both"/>
        <w:rPr>
          <w:rFonts w:ascii="Arial" w:hAnsi="Arial" w:cs="Arial"/>
          <w:b/>
          <w:sz w:val="24"/>
          <w:szCs w:val="24"/>
        </w:rPr>
      </w:pPr>
      <w:r w:rsidRPr="0038047C">
        <w:rPr>
          <w:rFonts w:ascii="Arial" w:hAnsi="Arial" w:cs="Arial"/>
          <w:b/>
          <w:sz w:val="24"/>
          <w:szCs w:val="24"/>
        </w:rPr>
        <w:t xml:space="preserve">ПНТЗ получил разрешение на производство двух новых видов материалов для авиационной промышленности </w:t>
      </w:r>
    </w:p>
    <w:p w:rsidR="008C2A8D" w:rsidRPr="0038047C" w:rsidRDefault="008C2A8D" w:rsidP="008C2A8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C2A8D" w:rsidRPr="0038047C" w:rsidRDefault="008C2A8D" w:rsidP="0038047C">
      <w:pPr>
        <w:spacing w:line="360" w:lineRule="auto"/>
        <w:ind w:right="-140" w:firstLine="567"/>
        <w:jc w:val="both"/>
        <w:rPr>
          <w:rFonts w:ascii="Arial" w:hAnsi="Arial" w:cs="Arial"/>
          <w:sz w:val="24"/>
          <w:szCs w:val="24"/>
        </w:rPr>
      </w:pPr>
      <w:r w:rsidRPr="0038047C">
        <w:rPr>
          <w:rFonts w:ascii="Arial" w:hAnsi="Arial" w:cs="Arial"/>
          <w:sz w:val="24"/>
          <w:szCs w:val="24"/>
        </w:rPr>
        <w:t>На Первоуральском новотрубном заводе (входит в группу ЧТПЗ) эксперты Авиационного регистра Межгосударственного авиационного комитета (АР МАК) провели инспекционный контроль производства материалов авиационного назначения и проверку на компетентность испытательной лаборатории</w:t>
      </w:r>
      <w:r w:rsidR="0038047C">
        <w:rPr>
          <w:rFonts w:ascii="Arial" w:hAnsi="Arial" w:cs="Arial"/>
          <w:sz w:val="24"/>
          <w:szCs w:val="24"/>
        </w:rPr>
        <w:t xml:space="preserve"> (ЦЗЛ)</w:t>
      </w:r>
      <w:r w:rsidRPr="0038047C">
        <w:rPr>
          <w:rFonts w:ascii="Arial" w:hAnsi="Arial" w:cs="Arial"/>
          <w:sz w:val="24"/>
          <w:szCs w:val="24"/>
        </w:rPr>
        <w:t xml:space="preserve">. </w:t>
      </w:r>
      <w:r w:rsidR="0038047C">
        <w:rPr>
          <w:rFonts w:ascii="Arial" w:hAnsi="Arial" w:cs="Arial"/>
          <w:sz w:val="24"/>
          <w:szCs w:val="24"/>
        </w:rPr>
        <w:t>Экспертов</w:t>
      </w:r>
      <w:r w:rsidR="0038047C" w:rsidRPr="0038047C">
        <w:rPr>
          <w:rFonts w:ascii="Arial" w:hAnsi="Arial" w:cs="Arial"/>
          <w:sz w:val="24"/>
          <w:szCs w:val="24"/>
        </w:rPr>
        <w:t xml:space="preserve"> </w:t>
      </w:r>
      <w:r w:rsidR="0038047C">
        <w:rPr>
          <w:rFonts w:ascii="Arial" w:hAnsi="Arial" w:cs="Arial"/>
          <w:sz w:val="24"/>
          <w:szCs w:val="24"/>
        </w:rPr>
        <w:t xml:space="preserve">интересовала </w:t>
      </w:r>
      <w:r w:rsidRPr="0038047C">
        <w:rPr>
          <w:rFonts w:ascii="Arial" w:hAnsi="Arial" w:cs="Arial"/>
          <w:sz w:val="24"/>
          <w:szCs w:val="24"/>
        </w:rPr>
        <w:t>систем</w:t>
      </w:r>
      <w:r w:rsidR="0038047C">
        <w:rPr>
          <w:rFonts w:ascii="Arial" w:hAnsi="Arial" w:cs="Arial"/>
          <w:sz w:val="24"/>
          <w:szCs w:val="24"/>
        </w:rPr>
        <w:t>а менеджмента качества завода</w:t>
      </w:r>
      <w:r w:rsidRPr="0038047C">
        <w:rPr>
          <w:rFonts w:ascii="Arial" w:hAnsi="Arial" w:cs="Arial"/>
          <w:sz w:val="24"/>
          <w:szCs w:val="24"/>
        </w:rPr>
        <w:t>, технологи</w:t>
      </w:r>
      <w:r w:rsidR="0038047C">
        <w:rPr>
          <w:rFonts w:ascii="Arial" w:hAnsi="Arial" w:cs="Arial"/>
          <w:sz w:val="24"/>
          <w:szCs w:val="24"/>
        </w:rPr>
        <w:t>я</w:t>
      </w:r>
      <w:r w:rsidRPr="0038047C">
        <w:rPr>
          <w:rFonts w:ascii="Arial" w:hAnsi="Arial" w:cs="Arial"/>
          <w:sz w:val="24"/>
          <w:szCs w:val="24"/>
        </w:rPr>
        <w:t xml:space="preserve"> изготовления авиационных материалов, состояние метрологического обеспечения производства. По итогам аудита ПНТЗ не только подтвердил действие сертификата соответствия, но и получил разрешение на дополнение перечня материалов для авиационной промышленности двумя видами продукции</w:t>
      </w:r>
      <w:r w:rsidR="0038047C">
        <w:rPr>
          <w:rFonts w:ascii="Arial" w:hAnsi="Arial" w:cs="Arial"/>
          <w:sz w:val="24"/>
          <w:szCs w:val="24"/>
        </w:rPr>
        <w:t>: в</w:t>
      </w:r>
      <w:r w:rsidRPr="0038047C">
        <w:rPr>
          <w:rFonts w:ascii="Arial" w:hAnsi="Arial" w:cs="Arial"/>
          <w:sz w:val="24"/>
          <w:szCs w:val="24"/>
        </w:rPr>
        <w:t xml:space="preserve"> перечень в</w:t>
      </w:r>
      <w:r w:rsidR="0038047C">
        <w:rPr>
          <w:rFonts w:ascii="Arial" w:hAnsi="Arial" w:cs="Arial"/>
          <w:sz w:val="24"/>
          <w:szCs w:val="24"/>
        </w:rPr>
        <w:t>ошли</w:t>
      </w:r>
      <w:r w:rsidRPr="0038047C">
        <w:rPr>
          <w:rFonts w:ascii="Arial" w:hAnsi="Arial" w:cs="Arial"/>
          <w:sz w:val="24"/>
          <w:szCs w:val="24"/>
        </w:rPr>
        <w:t xml:space="preserve"> стальные прямоугольные трубы и заготовки баллонов. </w:t>
      </w:r>
    </w:p>
    <w:p w:rsidR="008C2A8D" w:rsidRPr="0038047C" w:rsidRDefault="008C2A8D" w:rsidP="0038047C">
      <w:pPr>
        <w:spacing w:line="360" w:lineRule="auto"/>
        <w:ind w:right="-140" w:firstLine="567"/>
        <w:jc w:val="both"/>
        <w:rPr>
          <w:rFonts w:ascii="Arial" w:hAnsi="Arial" w:cs="Arial"/>
          <w:sz w:val="24"/>
          <w:szCs w:val="24"/>
        </w:rPr>
      </w:pPr>
      <w:r w:rsidRPr="0038047C">
        <w:rPr>
          <w:rFonts w:ascii="Arial" w:hAnsi="Arial" w:cs="Arial"/>
          <w:sz w:val="24"/>
          <w:szCs w:val="24"/>
        </w:rPr>
        <w:t>Авиационные материалы ПНТЗ используются при изготовлении несущих конструкций фюзеляжей, при монтаже систем подачи топлива и кислорода, при изготовлении трубчатых конструкций шасси, а также для изготовления вертолетных полозьев. Баллоны применяются при изготовлении систем пожаротушения и катапультирования. Всего в цехах ПНТЗ изготавливают 46 видов продукции, используемой в авиации.</w:t>
      </w:r>
      <w:r w:rsidR="0038047C">
        <w:rPr>
          <w:rFonts w:ascii="Arial" w:hAnsi="Arial" w:cs="Arial"/>
          <w:sz w:val="24"/>
          <w:szCs w:val="24"/>
        </w:rPr>
        <w:t xml:space="preserve"> </w:t>
      </w:r>
    </w:p>
    <w:p w:rsidR="0038047C" w:rsidRDefault="008C2A8D" w:rsidP="0038047C">
      <w:pPr>
        <w:shd w:val="clear" w:color="auto" w:fill="FFFFFF"/>
        <w:spacing w:line="360" w:lineRule="auto"/>
        <w:ind w:right="-140" w:firstLine="567"/>
        <w:jc w:val="both"/>
        <w:rPr>
          <w:rFonts w:ascii="Arial" w:hAnsi="Arial" w:cs="Arial"/>
          <w:sz w:val="24"/>
          <w:szCs w:val="24"/>
        </w:rPr>
      </w:pPr>
      <w:r w:rsidRPr="0038047C">
        <w:rPr>
          <w:rFonts w:ascii="Arial" w:hAnsi="Arial" w:cs="Arial"/>
          <w:sz w:val="24"/>
          <w:szCs w:val="24"/>
        </w:rPr>
        <w:t xml:space="preserve">Материалы авиационного назначения производства ПНТЗ  приобретают Авиационная холдинговая компания «Сухой», Иркутский авиационный завод, а также многие другие авиационные заводы и научно-производственные объединения. </w:t>
      </w:r>
    </w:p>
    <w:p w:rsidR="008C2A8D" w:rsidRPr="0038047C" w:rsidRDefault="008C2A8D" w:rsidP="0038047C">
      <w:pPr>
        <w:shd w:val="clear" w:color="auto" w:fill="FFFFFF"/>
        <w:spacing w:line="360" w:lineRule="auto"/>
        <w:ind w:right="-140" w:firstLine="567"/>
        <w:jc w:val="both"/>
        <w:rPr>
          <w:rFonts w:ascii="Arial" w:hAnsi="Arial" w:cs="Arial"/>
          <w:sz w:val="24"/>
          <w:szCs w:val="24"/>
        </w:rPr>
      </w:pPr>
      <w:r w:rsidRPr="0038047C">
        <w:rPr>
          <w:rFonts w:ascii="Arial" w:hAnsi="Arial" w:cs="Arial"/>
          <w:sz w:val="24"/>
          <w:szCs w:val="24"/>
        </w:rPr>
        <w:t>ПНТЗ раз в три года проходит процедуру сертификации производства продукци</w:t>
      </w:r>
      <w:r w:rsidR="0038047C">
        <w:rPr>
          <w:rFonts w:ascii="Arial" w:hAnsi="Arial" w:cs="Arial"/>
          <w:sz w:val="24"/>
          <w:szCs w:val="24"/>
        </w:rPr>
        <w:t xml:space="preserve">и авиационного назначения, </w:t>
      </w:r>
      <w:r w:rsidRPr="0038047C">
        <w:rPr>
          <w:rFonts w:ascii="Arial" w:hAnsi="Arial" w:cs="Arial"/>
          <w:sz w:val="24"/>
          <w:szCs w:val="24"/>
        </w:rPr>
        <w:t>действие сертификата подтверждается при ежегодном инспекционном контроле.</w:t>
      </w:r>
    </w:p>
    <w:p w:rsidR="008C2A8D" w:rsidRPr="00931B1F" w:rsidRDefault="008C2A8D" w:rsidP="0038047C">
      <w:pPr>
        <w:shd w:val="clear" w:color="auto" w:fill="FFFFFF"/>
        <w:spacing w:line="360" w:lineRule="auto"/>
        <w:ind w:right="-140" w:firstLine="567"/>
        <w:jc w:val="both"/>
        <w:rPr>
          <w:rFonts w:ascii="Arial" w:hAnsi="Arial" w:cs="Arial"/>
        </w:rPr>
      </w:pPr>
    </w:p>
    <w:p w:rsidR="002A7401" w:rsidRPr="00D2176D" w:rsidRDefault="002A7401" w:rsidP="00B72BF4">
      <w:pPr>
        <w:rPr>
          <w:rFonts w:ascii="Arial" w:hAnsi="Arial" w:cs="Arial"/>
          <w:b/>
          <w:i/>
          <w:iCs/>
          <w:sz w:val="20"/>
          <w:szCs w:val="20"/>
        </w:rPr>
      </w:pPr>
      <w:r w:rsidRPr="00D2176D">
        <w:rPr>
          <w:rFonts w:ascii="Arial" w:hAnsi="Arial" w:cs="Arial"/>
          <w:b/>
          <w:i/>
          <w:iCs/>
          <w:sz w:val="20"/>
          <w:szCs w:val="20"/>
        </w:rPr>
        <w:t xml:space="preserve">Справочно: </w:t>
      </w:r>
    </w:p>
    <w:p w:rsidR="0038047C" w:rsidRDefault="0038047C" w:rsidP="0038047C">
      <w:pPr>
        <w:jc w:val="both"/>
        <w:rPr>
          <w:i/>
          <w:iCs/>
        </w:rPr>
      </w:pPr>
      <w:r>
        <w:rPr>
          <w:b/>
          <w:bCs/>
          <w:i/>
          <w:iCs/>
        </w:rPr>
        <w:t xml:space="preserve">Группа ЧТПЗ </w:t>
      </w:r>
      <w:r>
        <w:rPr>
          <w:i/>
          <w:iCs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</w:t>
      </w:r>
      <w:r>
        <w:rPr>
          <w:i/>
          <w:iCs/>
        </w:rPr>
        <w:lastRenderedPageBreak/>
        <w:t xml:space="preserve">новотрубный завод», компанию по заготовке и переработке металлолома  «МЕТА», металлоторговое подразделение ТД «Уралтрубосталь» и нефтесервисный дивизион, представленный группой  компаний «РИМЕРА». </w:t>
      </w:r>
    </w:p>
    <w:p w:rsidR="002A7401" w:rsidRDefault="002A7401" w:rsidP="009B34EF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2A7401" w:rsidRPr="001F610C" w:rsidRDefault="002A7401" w:rsidP="00B72BF4">
      <w:pPr>
        <w:pStyle w:val="a6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заместитель генерального директора – </w:t>
      </w:r>
    </w:p>
    <w:p w:rsidR="002A7401" w:rsidRPr="001F610C" w:rsidRDefault="002A7401" w:rsidP="00B72BF4">
      <w:pPr>
        <w:pStyle w:val="a6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>начальник управления по связям с общественностью</w:t>
      </w:r>
    </w:p>
    <w:p w:rsidR="002A7401" w:rsidRPr="001F610C" w:rsidRDefault="002A7401" w:rsidP="00B72BF4">
      <w:pPr>
        <w:pStyle w:val="a6"/>
        <w:jc w:val="right"/>
        <w:rPr>
          <w:i/>
          <w:iCs/>
          <w:sz w:val="24"/>
          <w:szCs w:val="24"/>
        </w:rPr>
      </w:pPr>
      <w:r w:rsidRPr="001F610C">
        <w:rPr>
          <w:i/>
          <w:iCs/>
          <w:sz w:val="24"/>
          <w:szCs w:val="24"/>
        </w:rPr>
        <w:t xml:space="preserve">ОАО «ЧТПЗ» </w:t>
      </w:r>
    </w:p>
    <w:p w:rsidR="002A7401" w:rsidRPr="001F610C" w:rsidRDefault="002A7401" w:rsidP="00B72BF4">
      <w:pPr>
        <w:pStyle w:val="a6"/>
        <w:jc w:val="right"/>
        <w:rPr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>Э.Ю.Григорьева</w:t>
      </w:r>
    </w:p>
    <w:p w:rsidR="002A7401" w:rsidRPr="001F610C" w:rsidRDefault="002A7401" w:rsidP="00B72BF4">
      <w:pPr>
        <w:pStyle w:val="a6"/>
        <w:jc w:val="right"/>
        <w:rPr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>тел. (351) 255-79-99; 255-79-92</w:t>
      </w:r>
    </w:p>
    <w:p w:rsidR="002A7401" w:rsidRPr="001F610C" w:rsidRDefault="001B0B77" w:rsidP="001F610C">
      <w:pPr>
        <w:jc w:val="right"/>
        <w:rPr>
          <w:rFonts w:ascii="Arial" w:hAnsi="Arial" w:cs="Arial"/>
          <w:i/>
          <w:iCs/>
          <w:sz w:val="24"/>
          <w:szCs w:val="24"/>
        </w:rPr>
      </w:pPr>
      <w:hyperlink r:id="rId6" w:history="1">
        <w:r w:rsidR="002A7401" w:rsidRPr="001F610C">
          <w:rPr>
            <w:rStyle w:val="a7"/>
            <w:rFonts w:ascii="Arial" w:hAnsi="Arial" w:cs="Arial"/>
            <w:i/>
            <w:iCs/>
            <w:sz w:val="24"/>
            <w:szCs w:val="24"/>
          </w:rPr>
          <w:t>Evelina.Grigoreva@chelpipe.ru</w:t>
        </w:r>
      </w:hyperlink>
    </w:p>
    <w:p w:rsidR="002A7401" w:rsidRPr="001F610C" w:rsidRDefault="002A7401" w:rsidP="009B34EF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2A7401" w:rsidRPr="00E040C1" w:rsidRDefault="002A7401" w:rsidP="00AE747D">
      <w:pPr>
        <w:jc w:val="both"/>
        <w:rPr>
          <w:rFonts w:ascii="Arial" w:hAnsi="Arial" w:cs="Arial"/>
          <w:sz w:val="24"/>
          <w:szCs w:val="24"/>
        </w:rPr>
      </w:pPr>
    </w:p>
    <w:p w:rsidR="002A7401" w:rsidRPr="00E040C1" w:rsidRDefault="002A7401">
      <w:pPr>
        <w:rPr>
          <w:rFonts w:ascii="Arial" w:hAnsi="Arial" w:cs="Arial"/>
          <w:sz w:val="24"/>
          <w:szCs w:val="24"/>
        </w:rPr>
      </w:pPr>
    </w:p>
    <w:sectPr w:rsidR="002A7401" w:rsidRPr="00E040C1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16925"/>
    <w:rsid w:val="00033456"/>
    <w:rsid w:val="00040808"/>
    <w:rsid w:val="00065429"/>
    <w:rsid w:val="00085E98"/>
    <w:rsid w:val="000F0250"/>
    <w:rsid w:val="00135CBB"/>
    <w:rsid w:val="001B0B77"/>
    <w:rsid w:val="001C5622"/>
    <w:rsid w:val="001E2195"/>
    <w:rsid w:val="001F2421"/>
    <w:rsid w:val="001F610C"/>
    <w:rsid w:val="0024242C"/>
    <w:rsid w:val="002A7401"/>
    <w:rsid w:val="002D031A"/>
    <w:rsid w:val="002E2516"/>
    <w:rsid w:val="0032226F"/>
    <w:rsid w:val="00360979"/>
    <w:rsid w:val="0038047C"/>
    <w:rsid w:val="003C0236"/>
    <w:rsid w:val="00424372"/>
    <w:rsid w:val="0043089E"/>
    <w:rsid w:val="004430DF"/>
    <w:rsid w:val="004A4B9F"/>
    <w:rsid w:val="004E3433"/>
    <w:rsid w:val="00534C34"/>
    <w:rsid w:val="0059218F"/>
    <w:rsid w:val="005B7C51"/>
    <w:rsid w:val="005D1C33"/>
    <w:rsid w:val="00626032"/>
    <w:rsid w:val="006705FA"/>
    <w:rsid w:val="0067740B"/>
    <w:rsid w:val="006F2A59"/>
    <w:rsid w:val="00716D75"/>
    <w:rsid w:val="007558A4"/>
    <w:rsid w:val="0079525F"/>
    <w:rsid w:val="007C3ADF"/>
    <w:rsid w:val="0082340D"/>
    <w:rsid w:val="008B4E65"/>
    <w:rsid w:val="008C2A8D"/>
    <w:rsid w:val="008C5574"/>
    <w:rsid w:val="008F400F"/>
    <w:rsid w:val="009050DF"/>
    <w:rsid w:val="0097219A"/>
    <w:rsid w:val="00991E86"/>
    <w:rsid w:val="009969E6"/>
    <w:rsid w:val="00996DB7"/>
    <w:rsid w:val="009B34EF"/>
    <w:rsid w:val="00A00AF4"/>
    <w:rsid w:val="00A37975"/>
    <w:rsid w:val="00AE747D"/>
    <w:rsid w:val="00B72BF4"/>
    <w:rsid w:val="00B734B1"/>
    <w:rsid w:val="00B9035A"/>
    <w:rsid w:val="00BD5553"/>
    <w:rsid w:val="00C05263"/>
    <w:rsid w:val="00CB3B63"/>
    <w:rsid w:val="00D130E5"/>
    <w:rsid w:val="00D2176D"/>
    <w:rsid w:val="00D42502"/>
    <w:rsid w:val="00D53862"/>
    <w:rsid w:val="00D82CC1"/>
    <w:rsid w:val="00D972E7"/>
    <w:rsid w:val="00DB1F34"/>
    <w:rsid w:val="00E040C1"/>
    <w:rsid w:val="00EE705B"/>
    <w:rsid w:val="00F16925"/>
    <w:rsid w:val="00F811C3"/>
    <w:rsid w:val="00F85F2B"/>
    <w:rsid w:val="00F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C0236"/>
    <w:pPr>
      <w:ind w:left="720"/>
    </w:pPr>
  </w:style>
  <w:style w:type="paragraph" w:styleId="a6">
    <w:name w:val="No Spacing"/>
    <w:uiPriority w:val="99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lina.Grigore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2160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pntz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o_bulatova</dc:creator>
  <cp:keywords/>
  <dc:description/>
  <cp:lastModifiedBy>o_bulatova</cp:lastModifiedBy>
  <cp:revision>2</cp:revision>
  <dcterms:created xsi:type="dcterms:W3CDTF">2014-04-04T02:51:00Z</dcterms:created>
  <dcterms:modified xsi:type="dcterms:W3CDTF">2014-04-04T02:51:00Z</dcterms:modified>
</cp:coreProperties>
</file>