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F5" w:rsidRDefault="00ED3CF5" w:rsidP="00A35392">
      <w:pPr>
        <w:pStyle w:val="a7"/>
        <w:rPr>
          <w:rFonts w:ascii="Helios-Regular" w:hAnsi="Helios-Regular" w:cs="Helios-Regular"/>
          <w:caps/>
          <w:sz w:val="20"/>
          <w:szCs w:val="20"/>
        </w:rPr>
      </w:pPr>
    </w:p>
    <w:p w:rsidR="00ED3CF5" w:rsidRPr="008D4996" w:rsidRDefault="00ED3CF5" w:rsidP="00ED3CF5">
      <w:pPr>
        <w:pStyle w:val="a7"/>
        <w:jc w:val="center"/>
        <w:rPr>
          <w:rFonts w:ascii="Helios" w:hAnsi="Helios" w:cs="Helios-Regular"/>
          <w:caps/>
          <w:spacing w:val="40"/>
          <w:sz w:val="40"/>
          <w:szCs w:val="40"/>
        </w:rPr>
      </w:pPr>
      <w:r w:rsidRPr="008D4996">
        <w:rPr>
          <w:rFonts w:ascii="Helios" w:hAnsi="Helios" w:cs="Helios-Regular"/>
          <w:caps/>
          <w:spacing w:val="40"/>
          <w:sz w:val="40"/>
          <w:szCs w:val="40"/>
        </w:rPr>
        <w:t>ПР</w:t>
      </w:r>
      <w:r w:rsidR="008D4996" w:rsidRPr="008D4996">
        <w:rPr>
          <w:rFonts w:ascii="Helios" w:hAnsi="Helios" w:cs="Helios-Regular"/>
          <w:caps/>
          <w:spacing w:val="40"/>
          <w:sz w:val="40"/>
          <w:szCs w:val="40"/>
        </w:rPr>
        <w:t>ЕСС-РЕЛИ</w:t>
      </w:r>
      <w:r w:rsidRPr="008D4996">
        <w:rPr>
          <w:rFonts w:ascii="Helios" w:hAnsi="Helios" w:cs="Helios-Regular"/>
          <w:caps/>
          <w:spacing w:val="40"/>
          <w:sz w:val="40"/>
          <w:szCs w:val="40"/>
        </w:rPr>
        <w:t>З</w:t>
      </w:r>
    </w:p>
    <w:p w:rsidR="008D4996" w:rsidRDefault="008D4996" w:rsidP="008D4996">
      <w:pPr>
        <w:pStyle w:val="a7"/>
        <w:rPr>
          <w:rFonts w:ascii="Times New Roman" w:hAnsi="Times New Roman" w:cs="Helios-Regular"/>
          <w:sz w:val="20"/>
          <w:szCs w:val="20"/>
        </w:rPr>
      </w:pPr>
    </w:p>
    <w:p w:rsidR="0013535E" w:rsidRDefault="008D4996" w:rsidP="0013535E">
      <w:pPr>
        <w:pStyle w:val="a7"/>
        <w:jc w:val="center"/>
        <w:rPr>
          <w:rFonts w:ascii="Helios" w:hAnsi="Helios" w:cs="Helios-Regular"/>
          <w:sz w:val="20"/>
          <w:szCs w:val="20"/>
        </w:rPr>
      </w:pPr>
      <w:r w:rsidRPr="008D4996">
        <w:rPr>
          <w:rFonts w:ascii="Helios" w:hAnsi="Helios" w:cs="Helios-Regular"/>
          <w:sz w:val="20"/>
          <w:szCs w:val="20"/>
        </w:rPr>
        <w:t xml:space="preserve">г. </w:t>
      </w:r>
      <w:r w:rsidR="00ED7E81">
        <w:rPr>
          <w:rFonts w:ascii="Helios" w:hAnsi="Helios" w:cs="Helios-Regular"/>
          <w:sz w:val="20"/>
          <w:szCs w:val="20"/>
        </w:rPr>
        <w:t xml:space="preserve"> </w:t>
      </w:r>
      <w:r w:rsidR="00F44788">
        <w:rPr>
          <w:rFonts w:ascii="Helios" w:hAnsi="Helios" w:cs="Helios-Regular"/>
          <w:sz w:val="20"/>
          <w:szCs w:val="20"/>
        </w:rPr>
        <w:t>Воронеж</w:t>
      </w:r>
      <w:r w:rsidRPr="008D4996">
        <w:rPr>
          <w:rFonts w:ascii="Helios" w:hAnsi="Helios" w:cs="Helios-Regular"/>
          <w:sz w:val="20"/>
          <w:szCs w:val="20"/>
        </w:rPr>
        <w:tab/>
      </w:r>
      <w:r w:rsidRPr="007D7E38">
        <w:rPr>
          <w:rFonts w:ascii="Helios" w:hAnsi="Helios" w:cs="Helios-Regular"/>
          <w:sz w:val="20"/>
          <w:szCs w:val="20"/>
        </w:rPr>
        <w:tab/>
      </w:r>
      <w:r w:rsidRPr="007D7E38">
        <w:rPr>
          <w:rFonts w:ascii="Helios" w:hAnsi="Helios" w:cs="Helios-Regular"/>
          <w:sz w:val="20"/>
          <w:szCs w:val="20"/>
        </w:rPr>
        <w:tab/>
      </w:r>
      <w:r w:rsidRPr="007D7E38">
        <w:rPr>
          <w:rFonts w:ascii="Helios" w:hAnsi="Helios" w:cs="Helios-Regular"/>
          <w:sz w:val="20"/>
          <w:szCs w:val="20"/>
        </w:rPr>
        <w:tab/>
      </w:r>
      <w:r w:rsidRPr="007D7E38">
        <w:rPr>
          <w:rFonts w:ascii="Helios" w:hAnsi="Helios" w:cs="Helios-Regular"/>
          <w:sz w:val="20"/>
          <w:szCs w:val="20"/>
        </w:rPr>
        <w:tab/>
      </w:r>
      <w:r w:rsidRPr="007D7E38">
        <w:rPr>
          <w:rFonts w:ascii="Helios" w:hAnsi="Helios" w:cs="Helios-Regular"/>
          <w:sz w:val="20"/>
          <w:szCs w:val="20"/>
        </w:rPr>
        <w:tab/>
      </w:r>
      <w:r w:rsidRPr="007D7E38">
        <w:rPr>
          <w:rFonts w:ascii="Helios" w:hAnsi="Helios" w:cs="Helios-Regular"/>
          <w:sz w:val="20"/>
          <w:szCs w:val="20"/>
        </w:rPr>
        <w:tab/>
      </w:r>
      <w:r w:rsidR="00F63033">
        <w:rPr>
          <w:rFonts w:ascii="Helios" w:hAnsi="Helios" w:cs="Helios-Regular"/>
          <w:sz w:val="20"/>
          <w:szCs w:val="20"/>
        </w:rPr>
        <w:t xml:space="preserve"> </w:t>
      </w:r>
      <w:r w:rsidR="00483492">
        <w:rPr>
          <w:rFonts w:ascii="Helios" w:hAnsi="Helios" w:cs="Helios-Regular"/>
          <w:sz w:val="20"/>
          <w:szCs w:val="20"/>
        </w:rPr>
        <w:t xml:space="preserve"> </w:t>
      </w:r>
      <w:r w:rsidR="00BE3ABB">
        <w:rPr>
          <w:rFonts w:ascii="Helios" w:hAnsi="Helios" w:cs="Helios-Regular"/>
          <w:sz w:val="20"/>
          <w:szCs w:val="20"/>
        </w:rPr>
        <w:t xml:space="preserve">                             </w:t>
      </w:r>
      <w:r w:rsidR="00F63033">
        <w:rPr>
          <w:rFonts w:ascii="Helios" w:hAnsi="Helios" w:cs="Helios-Regular"/>
          <w:sz w:val="20"/>
          <w:szCs w:val="20"/>
        </w:rPr>
        <w:t>2</w:t>
      </w:r>
      <w:r w:rsidR="005A247E">
        <w:rPr>
          <w:rFonts w:ascii="Helios" w:hAnsi="Helios" w:cs="Helios-Regular"/>
          <w:sz w:val="20"/>
          <w:szCs w:val="20"/>
        </w:rPr>
        <w:t>8</w:t>
      </w:r>
      <w:r w:rsidR="00F63033">
        <w:rPr>
          <w:rFonts w:ascii="Helios" w:hAnsi="Helios" w:cs="Helios-Regular"/>
          <w:sz w:val="20"/>
          <w:szCs w:val="20"/>
        </w:rPr>
        <w:t xml:space="preserve"> </w:t>
      </w:r>
      <w:r w:rsidR="005A247E">
        <w:rPr>
          <w:rFonts w:ascii="Helios" w:hAnsi="Helios" w:cs="Helios-Regular"/>
          <w:sz w:val="20"/>
          <w:szCs w:val="20"/>
        </w:rPr>
        <w:t>января</w:t>
      </w:r>
      <w:r w:rsidR="00483492">
        <w:rPr>
          <w:rFonts w:ascii="Helios" w:hAnsi="Helios" w:cs="Helios-Regular"/>
          <w:sz w:val="20"/>
          <w:szCs w:val="20"/>
        </w:rPr>
        <w:t xml:space="preserve"> </w:t>
      </w:r>
      <w:r w:rsidR="00A35392" w:rsidRPr="008D4996">
        <w:rPr>
          <w:rFonts w:ascii="Helios" w:hAnsi="Helios" w:cs="Helios-Regular"/>
          <w:caps/>
          <w:sz w:val="20"/>
          <w:szCs w:val="20"/>
        </w:rPr>
        <w:t>20</w:t>
      </w:r>
      <w:r w:rsidR="00483492">
        <w:rPr>
          <w:rFonts w:ascii="Helios" w:hAnsi="Helios" w:cs="Helios-Regular"/>
          <w:caps/>
          <w:sz w:val="20"/>
          <w:szCs w:val="20"/>
        </w:rPr>
        <w:t>1</w:t>
      </w:r>
      <w:r w:rsidR="005A247E">
        <w:rPr>
          <w:rFonts w:ascii="Helios" w:hAnsi="Helios" w:cs="Helios-Regular"/>
          <w:caps/>
          <w:sz w:val="20"/>
          <w:szCs w:val="20"/>
        </w:rPr>
        <w:t>5</w:t>
      </w:r>
      <w:r w:rsidR="00483492">
        <w:rPr>
          <w:rFonts w:ascii="Helios" w:hAnsi="Helios" w:cs="Helios-Regular"/>
          <w:caps/>
          <w:sz w:val="20"/>
          <w:szCs w:val="20"/>
        </w:rPr>
        <w:t xml:space="preserve"> </w:t>
      </w:r>
      <w:r w:rsidR="00483492">
        <w:rPr>
          <w:rFonts w:ascii="Helios" w:hAnsi="Helios" w:cs="Helios-Regular"/>
          <w:sz w:val="20"/>
          <w:szCs w:val="20"/>
        </w:rPr>
        <w:t>года</w:t>
      </w:r>
    </w:p>
    <w:p w:rsidR="00F06915" w:rsidRPr="00F44788" w:rsidRDefault="00F06915" w:rsidP="00F06915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/>
          <w:b/>
          <w:bCs/>
          <w:color w:val="0D0D0D"/>
          <w:kern w:val="36"/>
          <w:lang w:eastAsia="ru-RU"/>
        </w:rPr>
      </w:pPr>
    </w:p>
    <w:p w:rsidR="005A247E" w:rsidRPr="005A247E" w:rsidRDefault="005A247E" w:rsidP="005A24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A247E">
        <w:rPr>
          <w:rFonts w:ascii="Times New Roman" w:hAnsi="Times New Roman" w:cs="Times New Roman"/>
          <w:b/>
          <w:sz w:val="26"/>
          <w:szCs w:val="26"/>
        </w:rPr>
        <w:t>Воронежские энергетики продолжают системную работу по профилактике электротравматизма</w:t>
      </w:r>
    </w:p>
    <w:p w:rsidR="005A247E" w:rsidRPr="005A247E" w:rsidRDefault="005A247E" w:rsidP="005A247E">
      <w:pPr>
        <w:jc w:val="both"/>
        <w:rPr>
          <w:rFonts w:ascii="Times New Roman" w:hAnsi="Times New Roman" w:cs="Times New Roman"/>
          <w:sz w:val="26"/>
          <w:szCs w:val="26"/>
        </w:rPr>
      </w:pPr>
      <w:r w:rsidRPr="005A247E">
        <w:rPr>
          <w:rFonts w:ascii="Times New Roman" w:hAnsi="Times New Roman" w:cs="Times New Roman"/>
          <w:sz w:val="26"/>
          <w:szCs w:val="26"/>
        </w:rPr>
        <w:t xml:space="preserve">В филиале ОАО «МРСК Центра» - «Воронежэнерго» подведены предварительные итоги реализации в 2014 году Программы по снижению рисков травматизма сторонних лиц на электросетевых объектах. Программа предусматривала выполнение целого комплекса мероприятий,  по направленных на обеспечение безопасного состояния объектов электросетей по отношению к населению, проведение в СМИ широкомасштабной информационно-разъяснительной работы, в том числе среди детей и подростков по опасности проникновения и приближения к электроустановкам, техническому совершенствованию эксплуатации электроустановок и профилактике электротравматизма. Все они были проведены в полном объеме и в установленные сроки. </w:t>
      </w:r>
    </w:p>
    <w:p w:rsidR="005A247E" w:rsidRPr="005A247E" w:rsidRDefault="005A247E" w:rsidP="005A247E">
      <w:pPr>
        <w:jc w:val="both"/>
        <w:rPr>
          <w:rFonts w:ascii="Times New Roman" w:hAnsi="Times New Roman" w:cs="Times New Roman"/>
          <w:sz w:val="26"/>
          <w:szCs w:val="26"/>
        </w:rPr>
      </w:pPr>
      <w:r w:rsidRPr="005A247E">
        <w:rPr>
          <w:rFonts w:ascii="Times New Roman" w:hAnsi="Times New Roman" w:cs="Times New Roman"/>
          <w:sz w:val="26"/>
          <w:szCs w:val="26"/>
        </w:rPr>
        <w:t xml:space="preserve">В частности, в рамках реализации технических мероприятий программы, специалисты Воронежэнерго осуществили замену неизолированного провода на самонесущий изолированный провод на воздушных линиях электропередачи 10/0,4 кВ, проходящих в местах массового пребывания жителей.  В общей сложности эти работы были проведены в 93 населенных пунктах Воронежской области.  </w:t>
      </w:r>
      <w:proofErr w:type="gramStart"/>
      <w:r w:rsidRPr="005A247E">
        <w:rPr>
          <w:rFonts w:ascii="Times New Roman" w:hAnsi="Times New Roman" w:cs="Times New Roman"/>
          <w:sz w:val="26"/>
          <w:szCs w:val="26"/>
        </w:rPr>
        <w:t xml:space="preserve">Кроме того, в общественных местах и вблизи социальных объектов были размещены  1017 дополнительных информационных знаков и плакатов (помимо требуемых нормативными документами), предупреждающих население об опасности поражения электрическим током.  </w:t>
      </w:r>
      <w:proofErr w:type="gramEnd"/>
    </w:p>
    <w:p w:rsidR="005A247E" w:rsidRPr="005A247E" w:rsidRDefault="005A247E" w:rsidP="005A247E">
      <w:pPr>
        <w:jc w:val="both"/>
        <w:rPr>
          <w:rFonts w:ascii="Times New Roman" w:hAnsi="Times New Roman" w:cs="Times New Roman"/>
          <w:sz w:val="26"/>
          <w:szCs w:val="26"/>
        </w:rPr>
      </w:pPr>
      <w:r w:rsidRPr="005A247E">
        <w:rPr>
          <w:rFonts w:ascii="Times New Roman" w:hAnsi="Times New Roman" w:cs="Times New Roman"/>
          <w:sz w:val="26"/>
          <w:szCs w:val="26"/>
        </w:rPr>
        <w:t xml:space="preserve">Особое внимание уделялось информационно-разъяснительной работе среди различных групп населения. Для учащихся школ области были организованы уроки электробезопасности, в ходе которых специалисты филиала рассказывали им о том, как правильно обращаться с электричеством, обучали ребят навыкам оказания первой помощи пострадавшему. Всего в 2014 году было проведено 420 таких занятий. </w:t>
      </w:r>
    </w:p>
    <w:p w:rsidR="005A247E" w:rsidRPr="005A247E" w:rsidRDefault="005A247E" w:rsidP="005A247E">
      <w:pPr>
        <w:jc w:val="both"/>
        <w:rPr>
          <w:rFonts w:ascii="Times New Roman" w:hAnsi="Times New Roman" w:cs="Times New Roman"/>
          <w:sz w:val="26"/>
          <w:szCs w:val="26"/>
        </w:rPr>
      </w:pPr>
      <w:r w:rsidRPr="005A247E">
        <w:rPr>
          <w:rFonts w:ascii="Times New Roman" w:hAnsi="Times New Roman" w:cs="Times New Roman"/>
          <w:sz w:val="26"/>
          <w:szCs w:val="26"/>
        </w:rPr>
        <w:t xml:space="preserve">В течение всего минувшего года специалистами по связям с общественностью Воронежэнерго осуществлялась подготовка и публикация в областных и районных газетах и </w:t>
      </w:r>
      <w:proofErr w:type="gramStart"/>
      <w:r w:rsidRPr="005A247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5A24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A247E">
        <w:rPr>
          <w:rFonts w:ascii="Times New Roman" w:hAnsi="Times New Roman" w:cs="Times New Roman"/>
          <w:sz w:val="26"/>
          <w:szCs w:val="26"/>
        </w:rPr>
        <w:t>популярных</w:t>
      </w:r>
      <w:proofErr w:type="gramEnd"/>
      <w:r w:rsidRPr="005A24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247E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5A247E">
        <w:rPr>
          <w:rFonts w:ascii="Times New Roman" w:hAnsi="Times New Roman" w:cs="Times New Roman"/>
          <w:sz w:val="26"/>
          <w:szCs w:val="26"/>
        </w:rPr>
        <w:t xml:space="preserve"> региона статей и объявлений о необходимости соблюдения правил электробезопасности.  Памятки и информационные листовки аналогичного содержания распространялись среди владельцев маломерных судов и любителей рыбной ловли. В период школьных каникул в центральном воронежском кинотеатре «Спартак» перед сеансами самых кассовых мультипликационных фильмов демонстрировались ролики на тему предупреждения электротравматизма. </w:t>
      </w:r>
    </w:p>
    <w:p w:rsidR="005A247E" w:rsidRPr="005A247E" w:rsidRDefault="005A247E" w:rsidP="005A247E">
      <w:pPr>
        <w:jc w:val="both"/>
        <w:rPr>
          <w:rFonts w:ascii="Times New Roman" w:hAnsi="Times New Roman" w:cs="Times New Roman"/>
          <w:sz w:val="26"/>
          <w:szCs w:val="26"/>
        </w:rPr>
      </w:pPr>
      <w:r w:rsidRPr="005A247E">
        <w:rPr>
          <w:rFonts w:ascii="Times New Roman" w:hAnsi="Times New Roman" w:cs="Times New Roman"/>
          <w:sz w:val="26"/>
          <w:szCs w:val="26"/>
        </w:rPr>
        <w:lastRenderedPageBreak/>
        <w:t xml:space="preserve">Одна из основных задач, которые энергетики решали в ходе информационно-разъяснительной работы – донести до граждан, что несоблюдение правил электробезопасности может привести к трагедии. Один из ярких тому примеров имел место в Воронеже в начале лета прошлого года. Вечером 9 июня яхта под названием «Мечта», высота мачты которой превышала разрешенные размеры (более 10 м), что грубо является грубейшим нарушением правил судоходства в охранных зонах ЛЭП, проходя по водохранилищу, задела линию электропередачи. В результате инцидента пострадали пассажиры яхты, которые с термическими ожогами были доставлены в больницу, и произошло отключение проходящих через водохранилище высоковольтных линий 110 кВ №№23 и 24.  Об этих и подобных случаях энергетики информировали граждан с помощью уже упомянутых источников и способов. </w:t>
      </w:r>
    </w:p>
    <w:p w:rsidR="005A247E" w:rsidRPr="005A247E" w:rsidRDefault="005A247E" w:rsidP="005A247E">
      <w:pPr>
        <w:jc w:val="both"/>
        <w:rPr>
          <w:rFonts w:ascii="Times New Roman" w:hAnsi="Times New Roman" w:cs="Times New Roman"/>
          <w:sz w:val="26"/>
          <w:szCs w:val="26"/>
        </w:rPr>
      </w:pPr>
      <w:r w:rsidRPr="005A247E">
        <w:rPr>
          <w:rFonts w:ascii="Times New Roman" w:hAnsi="Times New Roman" w:cs="Times New Roman"/>
          <w:sz w:val="26"/>
          <w:szCs w:val="26"/>
        </w:rPr>
        <w:t xml:space="preserve">Работу по профилактике электротравматизма филиал ведет совместно с органами региональной власти и территориальными подразделениями федеральных ведомств. В конце июня воронежские энергетики заключили соглашение о сотрудничестве в данном направлении  с Департаментом образования, науки и молодежной политики Воронежской области. Кроме того, по инициативе Воронежэнерго были внесены изменения  в действующее соглашение между филиалом и ГУ МЧС России по Воронежской области «О взаимодействии в области защиты населения и территорий от чрезвычайных ситуаций природного и техногенного характера», направленные на усиления мер предупреждения электротравматизма. Одним из результатов сотрудничества энергетиков и региональных властей стало успешное проведение в ноябре прошлого года областного конкурса рисунков «Дети против электротравматизма», в котором приняли участие 220 учащихся воронежских школ. </w:t>
      </w:r>
    </w:p>
    <w:p w:rsidR="005A247E" w:rsidRPr="005A247E" w:rsidRDefault="005A247E" w:rsidP="005A247E">
      <w:pPr>
        <w:jc w:val="both"/>
        <w:rPr>
          <w:rFonts w:ascii="Times New Roman" w:hAnsi="Times New Roman" w:cs="Times New Roman"/>
          <w:sz w:val="26"/>
          <w:szCs w:val="26"/>
        </w:rPr>
      </w:pPr>
      <w:r w:rsidRPr="005A247E">
        <w:rPr>
          <w:rFonts w:ascii="Times New Roman" w:hAnsi="Times New Roman" w:cs="Times New Roman"/>
          <w:sz w:val="26"/>
          <w:szCs w:val="26"/>
        </w:rPr>
        <w:t>В наступившем 2015 году воронежские энергетики продолжат вести последовательную и системную работу в области профилактики электротравматизма среди жителей области.</w:t>
      </w:r>
    </w:p>
    <w:p w:rsidR="00F63033" w:rsidRPr="005A247E" w:rsidRDefault="00F63033" w:rsidP="005A24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3033" w:rsidRPr="005A247E" w:rsidRDefault="00F63033" w:rsidP="005A24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3033" w:rsidRPr="005A247E" w:rsidRDefault="00F63033" w:rsidP="005A24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3033" w:rsidRPr="005A247E" w:rsidRDefault="00F63033" w:rsidP="005A24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3033" w:rsidRPr="005A247E" w:rsidRDefault="00F63033" w:rsidP="005A24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3033" w:rsidRPr="005A247E" w:rsidRDefault="00F63033" w:rsidP="005A24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3033" w:rsidRPr="005A247E" w:rsidRDefault="00F63033" w:rsidP="005A24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3033" w:rsidRPr="005A247E" w:rsidRDefault="00F63033" w:rsidP="005A24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3033" w:rsidRDefault="00F63033" w:rsidP="005A247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63033" w:rsidRDefault="00F63033" w:rsidP="005A247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63033" w:rsidRDefault="00F63033" w:rsidP="005A247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F63033" w:rsidRDefault="00F63033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13535E" w:rsidRDefault="0013535E" w:rsidP="0013535E">
      <w:pPr>
        <w:spacing w:after="0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C462AE">
        <w:rPr>
          <w:rFonts w:ascii="Times New Roman" w:hAnsi="Times New Roman"/>
          <w:sz w:val="16"/>
          <w:szCs w:val="16"/>
        </w:rPr>
        <w:t>Для справки:</w:t>
      </w:r>
    </w:p>
    <w:p w:rsidR="0013535E" w:rsidRPr="00C462AE" w:rsidRDefault="0013535E" w:rsidP="0013535E">
      <w:pPr>
        <w:spacing w:after="0"/>
        <w:rPr>
          <w:rFonts w:ascii="Times New Roman" w:hAnsi="Times New Roman"/>
          <w:sz w:val="16"/>
          <w:szCs w:val="16"/>
        </w:rPr>
      </w:pPr>
    </w:p>
    <w:p w:rsidR="0013535E" w:rsidRPr="00C462AE" w:rsidRDefault="0013535E" w:rsidP="0013535E">
      <w:pPr>
        <w:spacing w:after="0"/>
        <w:ind w:firstLine="708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C462AE">
        <w:rPr>
          <w:rFonts w:ascii="Times New Roman" w:hAnsi="Times New Roman"/>
          <w:b/>
          <w:i/>
          <w:iCs/>
          <w:color w:val="000000"/>
          <w:sz w:val="16"/>
          <w:szCs w:val="16"/>
        </w:rPr>
        <w:t xml:space="preserve">Открытое акционерное общество «Российские сети» </w:t>
      </w:r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>(ОАО «Россети») - крупнейшая в России и мире энергетическая компания, обеспечивающая передачу и распределение электроэнергии.  Протяженность линий электропередачи Компании насчитывает 2,3 млн. км, трансформаторная мощность 463 тысяч подстанций - 726 гигавольт-ампер. Численность персонала Группы компаний «Россети» - 213 тысяч человек. Имущественный комплекс Общества включает пакеты 43 дочерних и зависимых обществ, в том числе пакеты акций 11 межрегиональных, 5 региональных сетевых компаний и  пакет акций магистральной сетевой компании. Контролирующим акционером является государство, владеющее долей в уставном капитале в размере 61,7 %.</w:t>
      </w:r>
    </w:p>
    <w:p w:rsidR="0013535E" w:rsidRPr="00C462AE" w:rsidRDefault="0013535E" w:rsidP="0013535E">
      <w:pPr>
        <w:spacing w:after="0"/>
        <w:rPr>
          <w:rFonts w:ascii="Times New Roman" w:hAnsi="Times New Roman"/>
          <w:b/>
          <w:i/>
          <w:iCs/>
          <w:color w:val="000000"/>
          <w:sz w:val="16"/>
          <w:szCs w:val="16"/>
        </w:rPr>
      </w:pPr>
    </w:p>
    <w:p w:rsidR="0013535E" w:rsidRPr="00C462AE" w:rsidRDefault="0013535E" w:rsidP="0013535E">
      <w:pPr>
        <w:spacing w:after="0"/>
        <w:ind w:firstLine="708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C462AE">
        <w:rPr>
          <w:rFonts w:ascii="Times New Roman" w:hAnsi="Times New Roman"/>
          <w:b/>
          <w:i/>
          <w:iCs/>
          <w:color w:val="000000"/>
          <w:sz w:val="16"/>
          <w:szCs w:val="16"/>
        </w:rPr>
        <w:t>Открытое акционерное общество «Межрегиональная распределительная сетевая компания Центра»</w:t>
      </w:r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 (ОАО «МРСК Центра») – крупнейшая в Российской Федерации межрегиональная распределительная сетевая компания, контрольным пакетом акций которой (50,23%) владеет ОАО «Российские сети», осуществляющее управление МРСК/РСК корпоративными методами (через Советы директоров). Контролирующим акционером является государство, владеющее 61,7%  в УК ОАО «Российские сети».</w:t>
      </w:r>
    </w:p>
    <w:p w:rsidR="0013535E" w:rsidRPr="00C462AE" w:rsidRDefault="0013535E" w:rsidP="0013535E">
      <w:pPr>
        <w:spacing w:after="0"/>
        <w:rPr>
          <w:rFonts w:ascii="Times New Roman" w:hAnsi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ab/>
      </w:r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Трудовой коллектив ОАО «МРСК Центра» насчитывает более 30 тысяч человек. В целом доля ОАО «МРСК Центра» на рынке передачи электрической энергии регионов в зонах ответственности составляет около 83%;  доля компании на рынке технологических присоединений на территории Белгородской, Брянской, Воронежской, Костромской, Курской, Липецкой, Орловской, Смоленской, Тамбовской, Тверской, Ярославской областей (территория площадью 457,7 тысяч квадратных километров)- порядка 87%. </w:t>
      </w:r>
    </w:p>
    <w:p w:rsidR="0013535E" w:rsidRPr="00C462AE" w:rsidRDefault="0013535E" w:rsidP="0013535E">
      <w:pPr>
        <w:spacing w:after="0"/>
        <w:ind w:firstLine="708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Основным акционером ОАО «МРСК Центра», кроме ОАО «Российские сети», является компания </w:t>
      </w:r>
      <w:proofErr w:type="spellStart"/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>GenholdLimited</w:t>
      </w:r>
      <w:proofErr w:type="spellEnd"/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. В свободном обращении находится 25 % акций МРСК Центра. Количество акционеров — более 16 000. Код акций на бирже: Московская Биржа — MRKC. Тиккеры: </w:t>
      </w:r>
      <w:proofErr w:type="spellStart"/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>Bloomberg</w:t>
      </w:r>
      <w:proofErr w:type="spellEnd"/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 — MRKC RX, </w:t>
      </w:r>
      <w:proofErr w:type="spellStart"/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>Reuters</w:t>
      </w:r>
      <w:proofErr w:type="spellEnd"/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 — MRKC.MM.</w:t>
      </w:r>
    </w:p>
    <w:p w:rsidR="0013535E" w:rsidRPr="00C462AE" w:rsidRDefault="0013535E" w:rsidP="0013535E">
      <w:pPr>
        <w:spacing w:after="0"/>
        <w:ind w:firstLine="708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Производственный потенциал ОАО «МРСК Центра» составляет 2,3 тысяч подстанции напряжением 35-110 кВ общей мощностью 32 600 МВА и 90,2 тысяч подстанций напряжением 6—10 кВ общей мощностью  свыше 16 500 МВА. Общая протяженность линий электропередачи 0,4- 110 кВ - 379 тысяч километров. </w:t>
      </w:r>
    </w:p>
    <w:p w:rsidR="0013535E" w:rsidRPr="00C462AE" w:rsidRDefault="0013535E" w:rsidP="0013535E">
      <w:pPr>
        <w:spacing w:after="0"/>
        <w:ind w:firstLine="708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Основными стратегическими приоритетами ОАО «МРСК Центра» являются: обеспечение надежного, бесперебойного и качественного электроснабжения потребителей; повышение уровня качества и надежности оказываемых услуг; повышение эффективности инвестиций; энергосбережение и снижение потерь; повышение эффективности операционных затрат; улучшение взаимодействия с потребителями, обществом и инвесторами. </w:t>
      </w:r>
    </w:p>
    <w:p w:rsidR="0013535E" w:rsidRPr="00C462AE" w:rsidRDefault="0013535E" w:rsidP="0013535E">
      <w:pPr>
        <w:spacing w:after="0"/>
        <w:ind w:firstLine="708"/>
        <w:rPr>
          <w:rFonts w:ascii="Times New Roman" w:hAnsi="Times New Roman"/>
          <w:color w:val="000000"/>
          <w:sz w:val="16"/>
          <w:szCs w:val="16"/>
        </w:rPr>
      </w:pPr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С 1 февраля 2013 года в Брянской, Курской и Орловской </w:t>
      </w:r>
      <w:proofErr w:type="gramStart"/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>областях</w:t>
      </w:r>
      <w:proofErr w:type="gramEnd"/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, с 25 апреля 2013 в Тверской области  ОАО «МРСК Центра» были переданы </w:t>
      </w:r>
      <w:proofErr w:type="spellStart"/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>энергосбытовые</w:t>
      </w:r>
      <w:proofErr w:type="spellEnd"/>
      <w:r w:rsidRPr="00C462AE">
        <w:rPr>
          <w:rFonts w:ascii="Times New Roman" w:hAnsi="Times New Roman"/>
          <w:i/>
          <w:iCs/>
          <w:color w:val="000000"/>
          <w:sz w:val="16"/>
          <w:szCs w:val="16"/>
        </w:rPr>
        <w:t xml:space="preserve"> функции.  </w:t>
      </w:r>
    </w:p>
    <w:p w:rsidR="00F44788" w:rsidRPr="009477FB" w:rsidRDefault="0013535E" w:rsidP="00960AFE">
      <w:pPr>
        <w:spacing w:after="0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C462AE">
        <w:rPr>
          <w:color w:val="000000"/>
          <w:sz w:val="16"/>
          <w:szCs w:val="16"/>
        </w:rPr>
        <w:t> </w:t>
      </w:r>
      <w:r w:rsidRPr="00221137">
        <w:rPr>
          <w:rFonts w:ascii="Times New Roman" w:hAnsi="Times New Roman"/>
          <w:b/>
          <w:bCs/>
          <w:color w:val="1F497D"/>
        </w:rPr>
        <w:t xml:space="preserve">          </w:t>
      </w:r>
    </w:p>
    <w:p w:rsidR="00F44788" w:rsidRPr="00F44788" w:rsidRDefault="00F44788" w:rsidP="00F44788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F44788">
        <w:rPr>
          <w:rFonts w:ascii="Times New Roman" w:hAnsi="Times New Roman"/>
          <w:b/>
          <w:bCs/>
          <w:i/>
          <w:color w:val="000000"/>
          <w:sz w:val="16"/>
          <w:szCs w:val="16"/>
        </w:rPr>
        <w:t>Филиал ОАО «МРСК Центра» – «Воронежэнерго»</w:t>
      </w:r>
      <w:r w:rsidRPr="00F44788">
        <w:rPr>
          <w:rFonts w:ascii="Times New Roman" w:hAnsi="Times New Roman"/>
          <w:i/>
          <w:color w:val="000000"/>
          <w:sz w:val="16"/>
          <w:szCs w:val="16"/>
        </w:rPr>
        <w:t xml:space="preserve"> обеспечивает передачу, распределение электрической энергии для промышленности и сельского хозяйства, социальной сферы и населения Воронежской области – самого большого региона Центрального Черноземья. (Площадь Воронежской области 52,4 тыс. кв. км, численность населения –  2,3 </w:t>
      </w:r>
      <w:proofErr w:type="gramStart"/>
      <w:r w:rsidRPr="00F44788">
        <w:rPr>
          <w:rFonts w:ascii="Times New Roman" w:hAnsi="Times New Roman"/>
          <w:i/>
          <w:color w:val="000000"/>
          <w:sz w:val="16"/>
          <w:szCs w:val="16"/>
        </w:rPr>
        <w:t>млн</w:t>
      </w:r>
      <w:proofErr w:type="gramEnd"/>
      <w:r w:rsidRPr="00F44788">
        <w:rPr>
          <w:rFonts w:ascii="Times New Roman" w:hAnsi="Times New Roman"/>
          <w:i/>
          <w:color w:val="000000"/>
          <w:sz w:val="16"/>
          <w:szCs w:val="16"/>
        </w:rPr>
        <w:t xml:space="preserve"> человек).</w:t>
      </w:r>
    </w:p>
    <w:p w:rsidR="00F44788" w:rsidRPr="00F44788" w:rsidRDefault="00F44788" w:rsidP="00F44788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:rsidR="00F44788" w:rsidRPr="00F44788" w:rsidRDefault="00F44788" w:rsidP="00F44788">
      <w:pPr>
        <w:spacing w:after="0"/>
        <w:jc w:val="both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F44788">
        <w:rPr>
          <w:rFonts w:ascii="Times New Roman" w:hAnsi="Times New Roman"/>
          <w:bCs/>
          <w:i/>
          <w:color w:val="000000"/>
          <w:sz w:val="16"/>
          <w:szCs w:val="16"/>
        </w:rPr>
        <w:t>Основными видами деятельности филиала ОАО «МРСК Центра» - «Воронежэнерго» являются:</w:t>
      </w:r>
    </w:p>
    <w:p w:rsidR="00F44788" w:rsidRPr="00F44788" w:rsidRDefault="00F44788" w:rsidP="00F44788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:rsidR="00F44788" w:rsidRPr="00F44788" w:rsidRDefault="00F44788" w:rsidP="00F44788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F44788">
        <w:rPr>
          <w:rFonts w:ascii="Times New Roman" w:hAnsi="Times New Roman"/>
          <w:i/>
          <w:color w:val="000000"/>
          <w:sz w:val="16"/>
          <w:szCs w:val="16"/>
        </w:rPr>
        <w:t>- оказание услуг по передаче электроэнергии по сетям;</w:t>
      </w:r>
    </w:p>
    <w:p w:rsidR="00F44788" w:rsidRDefault="00F44788" w:rsidP="00F44788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F44788">
        <w:rPr>
          <w:rFonts w:ascii="Times New Roman" w:hAnsi="Times New Roman"/>
          <w:i/>
          <w:color w:val="000000"/>
          <w:sz w:val="16"/>
          <w:szCs w:val="16"/>
        </w:rPr>
        <w:t>- технологическое присоединение.</w:t>
      </w:r>
    </w:p>
    <w:p w:rsidR="00F44788" w:rsidRPr="00F44788" w:rsidRDefault="00F44788" w:rsidP="00F44788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16"/>
          <w:szCs w:val="16"/>
          <w:lang w:val="en-US"/>
        </w:rPr>
      </w:pPr>
    </w:p>
    <w:p w:rsidR="00F44788" w:rsidRPr="00F44788" w:rsidRDefault="00F44788" w:rsidP="00F44788">
      <w:pPr>
        <w:spacing w:after="0"/>
        <w:ind w:firstLine="709"/>
        <w:rPr>
          <w:rFonts w:ascii="Times New Roman" w:eastAsia="Times New Roman" w:hAnsi="Times New Roman"/>
          <w:b/>
          <w:i/>
          <w:caps/>
          <w:color w:val="000000"/>
          <w:sz w:val="16"/>
          <w:szCs w:val="16"/>
          <w:lang w:val="en-US" w:eastAsia="ru-RU"/>
        </w:rPr>
      </w:pPr>
      <w:r w:rsidRPr="00F44788">
        <w:rPr>
          <w:rFonts w:ascii="Times New Roman" w:eastAsia="Times New Roman" w:hAnsi="Times New Roman"/>
          <w:b/>
          <w:i/>
          <w:caps/>
          <w:color w:val="000000"/>
          <w:sz w:val="16"/>
          <w:szCs w:val="16"/>
          <w:lang w:eastAsia="ru-RU"/>
        </w:rPr>
        <w:t xml:space="preserve">Производственный потенциал </w:t>
      </w:r>
    </w:p>
    <w:p w:rsidR="00F44788" w:rsidRPr="00F44788" w:rsidRDefault="00F44788" w:rsidP="00F44788">
      <w:pPr>
        <w:spacing w:after="0"/>
        <w:ind w:firstLine="709"/>
        <w:rPr>
          <w:rFonts w:ascii="Times New Roman" w:eastAsia="Times New Roman" w:hAnsi="Times New Roman"/>
          <w:b/>
          <w:i/>
          <w:caps/>
          <w:color w:val="000000"/>
          <w:sz w:val="16"/>
          <w:szCs w:val="16"/>
          <w:lang w:val="en-US" w:eastAsia="ru-RU"/>
        </w:rPr>
      </w:pPr>
    </w:p>
    <w:p w:rsidR="00F44788" w:rsidRPr="00F44788" w:rsidRDefault="00F44788" w:rsidP="00F44788">
      <w:pPr>
        <w:pStyle w:val="aa"/>
        <w:numPr>
          <w:ilvl w:val="0"/>
          <w:numId w:val="12"/>
        </w:numPr>
        <w:spacing w:after="0"/>
        <w:rPr>
          <w:rFonts w:ascii="Times New Roman" w:eastAsia="Times New Roman" w:hAnsi="Times New Roman"/>
          <w:i/>
          <w:color w:val="000000"/>
          <w:sz w:val="16"/>
          <w:szCs w:val="16"/>
          <w:lang w:val="en-US" w:eastAsia="ru-RU"/>
        </w:rPr>
      </w:pP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Количество ПС 35-110 кВ – 294 шт. </w:t>
      </w:r>
    </w:p>
    <w:p w:rsidR="00F44788" w:rsidRPr="00F44788" w:rsidRDefault="00F44788" w:rsidP="00F44788">
      <w:pPr>
        <w:pStyle w:val="aa"/>
        <w:numPr>
          <w:ilvl w:val="0"/>
          <w:numId w:val="12"/>
        </w:numPr>
        <w:spacing w:after="0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Установленная мощность трансформаторов ПС 35-110 кВ – 4693,1   МВА</w:t>
      </w:r>
    </w:p>
    <w:p w:rsidR="00F44788" w:rsidRPr="00F44788" w:rsidRDefault="00F44788" w:rsidP="00F44788">
      <w:pPr>
        <w:pStyle w:val="aa"/>
        <w:numPr>
          <w:ilvl w:val="0"/>
          <w:numId w:val="12"/>
        </w:numPr>
        <w:spacing w:after="0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Протяженность </w:t>
      </w:r>
      <w:proofErr w:type="gramStart"/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ВЛ</w:t>
      </w:r>
      <w:proofErr w:type="gramEnd"/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35-110 кВ – 6790 км</w:t>
      </w:r>
    </w:p>
    <w:p w:rsidR="00F44788" w:rsidRPr="00F44788" w:rsidRDefault="00F44788" w:rsidP="00F44788">
      <w:pPr>
        <w:pStyle w:val="aa"/>
        <w:numPr>
          <w:ilvl w:val="0"/>
          <w:numId w:val="12"/>
        </w:numPr>
        <w:spacing w:after="0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Протяженность КЛ 35-110 кВ – 16,03 км </w:t>
      </w:r>
    </w:p>
    <w:p w:rsidR="00F44788" w:rsidRPr="00F44788" w:rsidRDefault="00F44788" w:rsidP="00F44788">
      <w:pPr>
        <w:pStyle w:val="aa"/>
        <w:numPr>
          <w:ilvl w:val="0"/>
          <w:numId w:val="12"/>
        </w:numPr>
        <w:spacing w:after="0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Количество ТП, РП 6-10/0,4 кВ – 11255 шт.</w:t>
      </w:r>
    </w:p>
    <w:p w:rsidR="00F44788" w:rsidRPr="00F44788" w:rsidRDefault="00F44788" w:rsidP="00F44788">
      <w:pPr>
        <w:pStyle w:val="aa"/>
        <w:numPr>
          <w:ilvl w:val="0"/>
          <w:numId w:val="12"/>
        </w:numPr>
        <w:spacing w:after="0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Мощность ТП, РП 6-10/0,4 кВ – 1661,62 МВА</w:t>
      </w:r>
    </w:p>
    <w:p w:rsidR="00F44788" w:rsidRPr="00F44788" w:rsidRDefault="00F44788" w:rsidP="00F44788">
      <w:pPr>
        <w:pStyle w:val="aa"/>
        <w:numPr>
          <w:ilvl w:val="0"/>
          <w:numId w:val="12"/>
        </w:numPr>
        <w:spacing w:after="0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Протяженность </w:t>
      </w:r>
      <w:proofErr w:type="gramStart"/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ВЛ</w:t>
      </w:r>
      <w:proofErr w:type="gramEnd"/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10-0,4 кВ – 44302,94 км</w:t>
      </w:r>
    </w:p>
    <w:p w:rsidR="00F44788" w:rsidRPr="00F44788" w:rsidRDefault="00F44788" w:rsidP="00F44788">
      <w:pPr>
        <w:pStyle w:val="aa"/>
        <w:numPr>
          <w:ilvl w:val="0"/>
          <w:numId w:val="12"/>
        </w:numPr>
        <w:spacing w:after="0"/>
        <w:rPr>
          <w:rFonts w:ascii="Times New Roman" w:hAnsi="Times New Roman"/>
          <w:i/>
          <w:sz w:val="16"/>
          <w:szCs w:val="16"/>
        </w:rPr>
      </w:pP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Протяженность КЛ 10-0,4 кВ – 200,71 км</w:t>
      </w:r>
    </w:p>
    <w:p w:rsidR="00F44788" w:rsidRPr="00F44788" w:rsidRDefault="00F44788" w:rsidP="00F44788">
      <w:pPr>
        <w:pStyle w:val="aa"/>
        <w:spacing w:after="0"/>
        <w:ind w:left="1429" w:firstLine="0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</w:p>
    <w:p w:rsidR="00F44788" w:rsidRPr="00F44788" w:rsidRDefault="00F44788" w:rsidP="00F44788">
      <w:pPr>
        <w:spacing w:after="0"/>
        <w:jc w:val="both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Началом развития энергетики Воронежской области можно считать 19 ноября 1899 года, когда была включена в работу первая в Воронеже городская электростанция мощностью 300 кВт. В целях дальнейшего развития Воронежской электроэнергетики приказом Наркомата тяжелой промышленности в 1935 году был организован «Воронежский энергокомбинат». С этой даты началось формирование Воронежской энергосистемы. В Единую энергосистему Европейской части страны Воронежская энергосистема вошла 30 декабря 1959 года. Пуск в 1964 году первого энергоблока на Нововоронежской атомной станции позволил начать интенсивную электрификацию районов области со строительством межсистемных, системообразующих и распределительных линий электропередачи и подстанций напряжением 35–110–220 </w:t>
      </w:r>
      <w:proofErr w:type="spellStart"/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кВ.</w:t>
      </w:r>
      <w:proofErr w:type="spellEnd"/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Одновременно с изменением энергетического потенциала изменялась и структура управления энергосистемой – от «Воронежского энергокомбината» до открытого акционерного общества «Воронежэнерго». </w:t>
      </w:r>
    </w:p>
    <w:p w:rsidR="00F44788" w:rsidRPr="00F44788" w:rsidRDefault="00F44788" w:rsidP="00F44788">
      <w:pPr>
        <w:spacing w:after="0"/>
        <w:jc w:val="both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11 декабря 1992 года зарегистрировано Акционерное общество открытого типа энергетики и электрификации «Воронежэнерго». С апреля 2005 года предприятие входит в зону ответственности ОАО «МРСК Центра и Северного Кавказа». 31 марта 2008 года «Воронежэнерго» вошло в состав ОАО «МРСК Центра» в качестве филиала. </w:t>
      </w:r>
    </w:p>
    <w:p w:rsidR="00F44788" w:rsidRPr="00F44788" w:rsidRDefault="00F44788" w:rsidP="00F44788">
      <w:pPr>
        <w:spacing w:after="0"/>
        <w:jc w:val="both"/>
        <w:rPr>
          <w:rFonts w:ascii="Times New Roman" w:eastAsia="Times New Roman" w:hAnsi="Times New Roman"/>
          <w:b/>
          <w:i/>
          <w:iCs/>
          <w:color w:val="000000"/>
          <w:sz w:val="16"/>
          <w:szCs w:val="16"/>
          <w:lang w:eastAsia="ru-RU"/>
        </w:rPr>
      </w:pPr>
      <w:r w:rsidRPr="00F44788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ru-RU"/>
        </w:rPr>
        <w:t>Руководитель -</w:t>
      </w:r>
      <w:r w:rsidRPr="00F44788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</w:t>
      </w:r>
      <w:r w:rsidRPr="00F44788">
        <w:rPr>
          <w:rFonts w:ascii="Times New Roman" w:eastAsia="Times New Roman" w:hAnsi="Times New Roman"/>
          <w:b/>
          <w:i/>
          <w:iCs/>
          <w:color w:val="000000"/>
          <w:sz w:val="16"/>
          <w:szCs w:val="16"/>
          <w:lang w:eastAsia="ru-RU"/>
        </w:rPr>
        <w:t xml:space="preserve">Заместитель генерального директора – Директор филиала ОАО «МРСК Центра» – «Воронежэнерго»  </w:t>
      </w:r>
      <w:r w:rsidRPr="00F44788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ru-RU"/>
        </w:rPr>
        <w:t>Иван Петрович КЛЕЙМЕНОВ</w:t>
      </w:r>
    </w:p>
    <w:p w:rsidR="0013535E" w:rsidRPr="00C462AE" w:rsidRDefault="0013535E" w:rsidP="0013535E">
      <w:pPr>
        <w:spacing w:after="0"/>
        <w:rPr>
          <w:color w:val="1F497D"/>
          <w:sz w:val="16"/>
          <w:szCs w:val="16"/>
        </w:rPr>
      </w:pPr>
    </w:p>
    <w:p w:rsidR="0013535E" w:rsidRPr="007D7E38" w:rsidRDefault="0013535E" w:rsidP="0013535E">
      <w:pPr>
        <w:spacing w:after="0"/>
        <w:jc w:val="both"/>
        <w:rPr>
          <w:rFonts w:ascii="Times New Roman" w:hAnsi="Times New Roman"/>
          <w:b/>
          <w:bCs/>
          <w:i/>
          <w:sz w:val="16"/>
          <w:szCs w:val="16"/>
          <w:lang w:eastAsia="ru-RU"/>
        </w:rPr>
      </w:pPr>
      <w:r w:rsidRPr="007D7E38">
        <w:rPr>
          <w:rFonts w:ascii="Times New Roman" w:hAnsi="Times New Roman"/>
          <w:b/>
          <w:bCs/>
          <w:i/>
          <w:sz w:val="16"/>
          <w:szCs w:val="16"/>
          <w:lang w:eastAsia="ru-RU"/>
        </w:rPr>
        <w:t>Контакты:</w:t>
      </w:r>
    </w:p>
    <w:p w:rsidR="0013535E" w:rsidRPr="007D7E38" w:rsidRDefault="0013535E" w:rsidP="0013535E">
      <w:pPr>
        <w:spacing w:after="0"/>
        <w:jc w:val="both"/>
        <w:rPr>
          <w:rFonts w:ascii="Times New Roman" w:hAnsi="Times New Roman"/>
          <w:b/>
          <w:bCs/>
          <w:i/>
          <w:sz w:val="16"/>
          <w:szCs w:val="16"/>
          <w:lang w:eastAsia="ru-RU"/>
        </w:rPr>
      </w:pPr>
      <w:r w:rsidRPr="007D7E38">
        <w:rPr>
          <w:rFonts w:ascii="Times New Roman" w:hAnsi="Times New Roman"/>
          <w:b/>
          <w:bCs/>
          <w:i/>
          <w:sz w:val="16"/>
          <w:szCs w:val="16"/>
          <w:lang w:eastAsia="ru-RU"/>
        </w:rPr>
        <w:t xml:space="preserve">Департамент </w:t>
      </w:r>
    </w:p>
    <w:p w:rsidR="0013535E" w:rsidRPr="007D7E38" w:rsidRDefault="0013535E" w:rsidP="0013535E">
      <w:pPr>
        <w:spacing w:after="0"/>
        <w:jc w:val="both"/>
        <w:rPr>
          <w:rFonts w:ascii="Times New Roman" w:hAnsi="Times New Roman"/>
          <w:b/>
          <w:bCs/>
          <w:i/>
          <w:sz w:val="16"/>
          <w:szCs w:val="16"/>
          <w:lang w:eastAsia="ru-RU"/>
        </w:rPr>
      </w:pPr>
      <w:r w:rsidRPr="007D7E38">
        <w:rPr>
          <w:rFonts w:ascii="Times New Roman" w:hAnsi="Times New Roman"/>
          <w:b/>
          <w:bCs/>
          <w:i/>
          <w:sz w:val="16"/>
          <w:szCs w:val="16"/>
          <w:lang w:eastAsia="ru-RU"/>
        </w:rPr>
        <w:t>по связям с общественностью</w:t>
      </w:r>
    </w:p>
    <w:p w:rsidR="0013535E" w:rsidRPr="007D7E38" w:rsidRDefault="0013535E" w:rsidP="0013535E">
      <w:pPr>
        <w:spacing w:after="0"/>
        <w:jc w:val="both"/>
        <w:rPr>
          <w:rFonts w:ascii="Times New Roman" w:hAnsi="Times New Roman"/>
          <w:b/>
          <w:bCs/>
          <w:i/>
          <w:sz w:val="16"/>
          <w:szCs w:val="16"/>
          <w:lang w:eastAsia="ru-RU"/>
        </w:rPr>
      </w:pPr>
      <w:r w:rsidRPr="007D7E38">
        <w:rPr>
          <w:rFonts w:ascii="Times New Roman" w:hAnsi="Times New Roman"/>
          <w:b/>
          <w:bCs/>
          <w:i/>
          <w:sz w:val="16"/>
          <w:szCs w:val="16"/>
          <w:lang w:eastAsia="ru-RU"/>
        </w:rPr>
        <w:t>Контакт-центр: +7(495)747 9292</w:t>
      </w:r>
    </w:p>
    <w:p w:rsidR="0013535E" w:rsidRPr="007D7E38" w:rsidRDefault="0013535E" w:rsidP="0013535E">
      <w:pPr>
        <w:spacing w:after="0"/>
        <w:jc w:val="both"/>
        <w:rPr>
          <w:rFonts w:ascii="Times New Roman" w:hAnsi="Times New Roman"/>
          <w:b/>
          <w:bCs/>
          <w:i/>
          <w:sz w:val="16"/>
          <w:szCs w:val="16"/>
          <w:lang w:eastAsia="ru-RU"/>
        </w:rPr>
      </w:pPr>
      <w:r w:rsidRPr="007D7E38">
        <w:rPr>
          <w:rFonts w:ascii="Times New Roman" w:hAnsi="Times New Roman"/>
          <w:b/>
          <w:bCs/>
          <w:i/>
          <w:sz w:val="16"/>
          <w:szCs w:val="16"/>
          <w:lang w:eastAsia="ru-RU"/>
        </w:rPr>
        <w:t>Факс: +7(495) 747 9295</w:t>
      </w:r>
    </w:p>
    <w:p w:rsidR="008D4996" w:rsidRDefault="0013535E" w:rsidP="00F44788">
      <w:pPr>
        <w:spacing w:after="0"/>
        <w:jc w:val="both"/>
      </w:pPr>
      <w:r w:rsidRPr="007D7E38">
        <w:rPr>
          <w:rFonts w:ascii="Times New Roman" w:hAnsi="Times New Roman"/>
          <w:b/>
          <w:bCs/>
          <w:i/>
          <w:sz w:val="16"/>
          <w:szCs w:val="16"/>
          <w:lang w:eastAsia="ru-RU"/>
        </w:rPr>
        <w:t>www.mrsk-1.ru</w:t>
      </w:r>
    </w:p>
    <w:sectPr w:rsidR="008D4996" w:rsidSect="008D4996">
      <w:headerReference w:type="default" r:id="rId9"/>
      <w:pgSz w:w="11900" w:h="16840" w:code="9"/>
      <w:pgMar w:top="2235" w:right="680" w:bottom="1134" w:left="1701" w:header="851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AA" w:rsidRDefault="00911BAA">
      <w:pPr>
        <w:spacing w:after="0"/>
      </w:pPr>
      <w:r>
        <w:separator/>
      </w:r>
    </w:p>
  </w:endnote>
  <w:endnote w:type="continuationSeparator" w:id="0">
    <w:p w:rsidR="00911BAA" w:rsidRDefault="00911B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-Regular">
    <w:altName w:val="Helios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AA" w:rsidRDefault="00911BAA">
      <w:pPr>
        <w:spacing w:after="0"/>
      </w:pPr>
      <w:r>
        <w:separator/>
      </w:r>
    </w:p>
  </w:footnote>
  <w:footnote w:type="continuationSeparator" w:id="0">
    <w:p w:rsidR="00911BAA" w:rsidRDefault="00911B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92" w:rsidRDefault="00A33787" w:rsidP="00A35392">
    <w:pPr>
      <w:pStyle w:val="a3"/>
      <w:jc w:val="center"/>
    </w:pPr>
    <w:r>
      <w:rPr>
        <w:noProof/>
        <w:lang w:eastAsia="ru-RU"/>
      </w:rPr>
      <w:drawing>
        <wp:inline distT="0" distB="0" distL="0" distR="0" wp14:anchorId="61BB252A" wp14:editId="638DB81D">
          <wp:extent cx="2621280" cy="563880"/>
          <wp:effectExtent l="25400" t="0" r="0" b="0"/>
          <wp:docPr id="1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128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787" w:rsidRDefault="00A33787" w:rsidP="00A35392">
    <w:pPr>
      <w:pStyle w:val="a7"/>
      <w:pBdr>
        <w:bottom w:val="single" w:sz="4" w:space="1" w:color="auto"/>
      </w:pBdr>
      <w:suppressAutoHyphens/>
      <w:jc w:val="center"/>
      <w:rPr>
        <w:rFonts w:ascii="Helios-Regular" w:hAnsi="Helios-Regular" w:cs="Helios-Regular"/>
        <w:caps/>
        <w:sz w:val="14"/>
        <w:szCs w:val="14"/>
      </w:rPr>
    </w:pPr>
  </w:p>
  <w:p w:rsidR="00A35392" w:rsidRPr="00A35392" w:rsidRDefault="00A35392" w:rsidP="00ED3CF5">
    <w:pPr>
      <w:pStyle w:val="a7"/>
      <w:pBdr>
        <w:bottom w:val="single" w:sz="4" w:space="1" w:color="auto"/>
      </w:pBdr>
      <w:suppressAutoHyphens/>
      <w:jc w:val="center"/>
      <w:rPr>
        <w:rFonts w:ascii="Helios-Regular" w:hAnsi="Helios-Regular" w:cs="Helios-Regular"/>
        <w:caps/>
        <w:sz w:val="14"/>
        <w:szCs w:val="14"/>
      </w:rPr>
    </w:pPr>
    <w:r>
      <w:rPr>
        <w:rFonts w:ascii="Helios-Regular" w:hAnsi="Helios-Regular" w:cs="Helios-Regular"/>
        <w:caps/>
        <w:sz w:val="14"/>
        <w:szCs w:val="14"/>
      </w:rPr>
      <w:t>Открытое акционерное общество «Межрегиональная распределительная сетевая компания Центра»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0260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D229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E6A6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772E7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EB40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1A0EA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520EA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F18F8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94B6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484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D9A1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B484953"/>
    <w:multiLevelType w:val="hybridMultilevel"/>
    <w:tmpl w:val="656A0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92"/>
    <w:rsid w:val="00007AA8"/>
    <w:rsid w:val="001257D9"/>
    <w:rsid w:val="0013535E"/>
    <w:rsid w:val="002165B1"/>
    <w:rsid w:val="00224514"/>
    <w:rsid w:val="002A1522"/>
    <w:rsid w:val="00400466"/>
    <w:rsid w:val="0045126A"/>
    <w:rsid w:val="00483492"/>
    <w:rsid w:val="004A7C58"/>
    <w:rsid w:val="004F3811"/>
    <w:rsid w:val="005553D8"/>
    <w:rsid w:val="005571DD"/>
    <w:rsid w:val="005A247E"/>
    <w:rsid w:val="006179DF"/>
    <w:rsid w:val="006D646B"/>
    <w:rsid w:val="00710C6F"/>
    <w:rsid w:val="00781CB3"/>
    <w:rsid w:val="007D7E38"/>
    <w:rsid w:val="008D4996"/>
    <w:rsid w:val="00911BAA"/>
    <w:rsid w:val="00960AFE"/>
    <w:rsid w:val="00A33787"/>
    <w:rsid w:val="00A35392"/>
    <w:rsid w:val="00AA5F50"/>
    <w:rsid w:val="00B53E99"/>
    <w:rsid w:val="00BE3ABB"/>
    <w:rsid w:val="00C409F8"/>
    <w:rsid w:val="00CF2560"/>
    <w:rsid w:val="00D60155"/>
    <w:rsid w:val="00DF55F6"/>
    <w:rsid w:val="00E8455D"/>
    <w:rsid w:val="00ED3CF5"/>
    <w:rsid w:val="00ED7E81"/>
    <w:rsid w:val="00F06915"/>
    <w:rsid w:val="00F44788"/>
    <w:rsid w:val="00F63033"/>
    <w:rsid w:val="00FA4C8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1" w:uiPriority="9" w:qFormat="1"/>
    <w:lsdException w:name="List Paragraph" w:uiPriority="34" w:qFormat="1"/>
  </w:latentStyles>
  <w:style w:type="paragraph" w:default="1" w:styleId="a">
    <w:name w:val="Normal"/>
    <w:qFormat/>
    <w:rsid w:val="00EB4970"/>
  </w:style>
  <w:style w:type="paragraph" w:styleId="1">
    <w:name w:val="heading 1"/>
    <w:basedOn w:val="a"/>
    <w:next w:val="a"/>
    <w:link w:val="10"/>
    <w:uiPriority w:val="9"/>
    <w:qFormat/>
    <w:rsid w:val="00135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392"/>
    <w:pPr>
      <w:tabs>
        <w:tab w:val="center" w:pos="4153"/>
        <w:tab w:val="right" w:pos="8306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35392"/>
  </w:style>
  <w:style w:type="paragraph" w:styleId="a5">
    <w:name w:val="footer"/>
    <w:basedOn w:val="a"/>
    <w:link w:val="a6"/>
    <w:uiPriority w:val="99"/>
    <w:unhideWhenUsed/>
    <w:rsid w:val="00A35392"/>
    <w:pPr>
      <w:tabs>
        <w:tab w:val="center" w:pos="4153"/>
        <w:tab w:val="right" w:pos="8306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35392"/>
  </w:style>
  <w:style w:type="paragraph" w:customStyle="1" w:styleId="a7">
    <w:name w:val="[Основной абзац]"/>
    <w:basedOn w:val="a"/>
    <w:uiPriority w:val="99"/>
    <w:rsid w:val="00A353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8">
    <w:name w:val="Balloon Text"/>
    <w:basedOn w:val="a"/>
    <w:link w:val="a9"/>
    <w:rsid w:val="005553D8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553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5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F44788"/>
    <w:pPr>
      <w:ind w:left="720" w:firstLine="709"/>
      <w:contextualSpacing/>
      <w:jc w:val="both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1" w:uiPriority="9" w:qFormat="1"/>
    <w:lsdException w:name="List Paragraph" w:uiPriority="34" w:qFormat="1"/>
  </w:latentStyles>
  <w:style w:type="paragraph" w:default="1" w:styleId="a">
    <w:name w:val="Normal"/>
    <w:qFormat/>
    <w:rsid w:val="00EB4970"/>
  </w:style>
  <w:style w:type="paragraph" w:styleId="1">
    <w:name w:val="heading 1"/>
    <w:basedOn w:val="a"/>
    <w:next w:val="a"/>
    <w:link w:val="10"/>
    <w:uiPriority w:val="9"/>
    <w:qFormat/>
    <w:rsid w:val="00135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392"/>
    <w:pPr>
      <w:tabs>
        <w:tab w:val="center" w:pos="4153"/>
        <w:tab w:val="right" w:pos="8306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35392"/>
  </w:style>
  <w:style w:type="paragraph" w:styleId="a5">
    <w:name w:val="footer"/>
    <w:basedOn w:val="a"/>
    <w:link w:val="a6"/>
    <w:uiPriority w:val="99"/>
    <w:unhideWhenUsed/>
    <w:rsid w:val="00A35392"/>
    <w:pPr>
      <w:tabs>
        <w:tab w:val="center" w:pos="4153"/>
        <w:tab w:val="right" w:pos="8306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35392"/>
  </w:style>
  <w:style w:type="paragraph" w:customStyle="1" w:styleId="a7">
    <w:name w:val="[Основной абзац]"/>
    <w:basedOn w:val="a"/>
    <w:uiPriority w:val="99"/>
    <w:rsid w:val="00A353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8">
    <w:name w:val="Balloon Text"/>
    <w:basedOn w:val="a"/>
    <w:link w:val="a9"/>
    <w:rsid w:val="005553D8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553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5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F44788"/>
    <w:pPr>
      <w:ind w:left="720" w:firstLine="709"/>
      <w:contextualSpacing/>
      <w:jc w:val="both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A6F01-19B6-4365-AAFD-9B84ADFE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Griffel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S</dc:creator>
  <cp:lastModifiedBy>Горлов Игорь Валериевич</cp:lastModifiedBy>
  <cp:revision>2</cp:revision>
  <dcterms:created xsi:type="dcterms:W3CDTF">2015-01-28T11:16:00Z</dcterms:created>
  <dcterms:modified xsi:type="dcterms:W3CDTF">2015-01-28T11:16:00Z</dcterms:modified>
</cp:coreProperties>
</file>