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256"/>
        <w:gridCol w:w="2268"/>
        <w:gridCol w:w="596"/>
      </w:tblGrid>
      <w:tr w:rsidR="00903FAC" w:rsidRPr="00903FAC" w:rsidTr="009A3E1F">
        <w:trPr>
          <w:trHeight w:val="1128"/>
        </w:trPr>
        <w:tc>
          <w:tcPr>
            <w:tcW w:w="8256" w:type="dxa"/>
            <w:tcBorders>
              <w:bottom w:val="single" w:sz="12" w:space="0" w:color="ED7D31"/>
            </w:tcBorders>
            <w:shd w:val="clear" w:color="auto" w:fill="auto"/>
            <w:vAlign w:val="center"/>
          </w:tcPr>
          <w:p w:rsidR="00903FAC" w:rsidRPr="00EB320E" w:rsidRDefault="00EB320E" w:rsidP="00815EDF">
            <w:pPr>
              <w:rPr>
                <w:lang w:val="en-US"/>
              </w:rPr>
            </w:pPr>
            <w:r w:rsidRPr="00EB320E">
              <w:rPr>
                <w:noProof/>
              </w:rPr>
              <w:drawing>
                <wp:inline distT="0" distB="0" distL="0" distR="0">
                  <wp:extent cx="1671320" cy="1114213"/>
                  <wp:effectExtent l="0" t="0" r="5080" b="0"/>
                  <wp:docPr id="5" name="Рисунок 5" descr="\\itespb\files\Photo_all\exhibition_MiningWorldRussia\2017\!отбор\web\IMG_0591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tespb\files\Photo_all\exhibition_MiningWorldRussia\2017\!отбор\web\IMG_0591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91" cy="112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EB320E">
              <w:rPr>
                <w:noProof/>
              </w:rPr>
              <w:drawing>
                <wp:inline distT="0" distB="0" distL="0" distR="0">
                  <wp:extent cx="1670686" cy="1123315"/>
                  <wp:effectExtent l="0" t="0" r="5715" b="635"/>
                  <wp:docPr id="6" name="Рисунок 6" descr="\\itespb\files\Photo_all\exhibition_MiningWorldRussia\2017\!отбор\web\IMG_8076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tespb\files\Photo_all\exhibition_MiningWorldRussia\2017\!отбор\web\IMG_8076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386" cy="112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 xml:space="preserve"> </w:t>
            </w:r>
            <w:r w:rsidRPr="00EB320E">
              <w:rPr>
                <w:noProof/>
              </w:rPr>
              <w:drawing>
                <wp:inline distT="0" distB="0" distL="0" distR="0">
                  <wp:extent cx="1665925" cy="1120140"/>
                  <wp:effectExtent l="0" t="0" r="0" b="3810"/>
                  <wp:docPr id="8" name="Рисунок 8" descr="\\itespb\files\Photo_all\exhibition_MiningWorldRussia\2017\!отбор\web\IMG_0162_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tespb\files\Photo_all\exhibition_MiningWorldRussia\2017\!отбор\web\IMG_0162_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19" cy="1133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  <w:gridSpan w:val="2"/>
            <w:tcBorders>
              <w:bottom w:val="single" w:sz="12" w:space="0" w:color="ED7D31"/>
            </w:tcBorders>
            <w:shd w:val="clear" w:color="auto" w:fill="auto"/>
            <w:vAlign w:val="center"/>
          </w:tcPr>
          <w:p w:rsidR="00815EDF" w:rsidRDefault="00FC3B1E" w:rsidP="00903FAC">
            <w:pPr>
              <w:rPr>
                <w:rStyle w:val="a3"/>
                <w:rFonts w:asciiTheme="minorHAnsi" w:hAnsiTheme="minorHAnsi" w:cs="Tahoma"/>
                <w:b w:val="0"/>
                <w:color w:val="A6A6A6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FC3B1E">
              <w:rPr>
                <w:noProof/>
              </w:rPr>
              <w:drawing>
                <wp:inline distT="0" distB="0" distL="0" distR="0" wp14:anchorId="33794C8E" wp14:editId="4F7AA885">
                  <wp:extent cx="1416050" cy="330987"/>
                  <wp:effectExtent l="0" t="0" r="0" b="0"/>
                  <wp:docPr id="276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8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648" cy="33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B320E" w:rsidRDefault="00EB320E" w:rsidP="00903FAC">
            <w:pPr>
              <w:rPr>
                <w:rStyle w:val="a3"/>
                <w:rFonts w:asciiTheme="minorHAnsi" w:hAnsiTheme="minorHAnsi" w:cs="Tahoma"/>
                <w:b w:val="0"/>
                <w:color w:val="A6A6A6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D709A0" w:rsidRPr="00297E74" w:rsidRDefault="00903FAC" w:rsidP="00903FAC">
            <w:pPr>
              <w:rPr>
                <w:rFonts w:asciiTheme="minorHAnsi" w:hAnsiTheme="minorHAnsi" w:cs="Tahoma"/>
                <w:bCs/>
                <w:color w:val="A6A6A6"/>
                <w:sz w:val="22"/>
                <w:szCs w:val="20"/>
                <w:bdr w:val="none" w:sz="0" w:space="0" w:color="auto" w:frame="1"/>
                <w:shd w:val="clear" w:color="auto" w:fill="FFFFFF"/>
              </w:rPr>
            </w:pPr>
            <w:r w:rsidRPr="00903FAC">
              <w:rPr>
                <w:rStyle w:val="a3"/>
                <w:rFonts w:asciiTheme="minorHAnsi" w:hAnsiTheme="minorHAnsi" w:cs="Tahoma"/>
                <w:b w:val="0"/>
                <w:color w:val="A6A6A6"/>
                <w:sz w:val="22"/>
                <w:szCs w:val="20"/>
                <w:bdr w:val="none" w:sz="0" w:space="0" w:color="auto" w:frame="1"/>
                <w:shd w:val="clear" w:color="auto" w:fill="FFFFFF"/>
              </w:rPr>
              <w:t xml:space="preserve">Международная выставка </w:t>
            </w:r>
            <w:r w:rsidR="00815EDF">
              <w:rPr>
                <w:rStyle w:val="a3"/>
                <w:rFonts w:asciiTheme="minorHAnsi" w:hAnsiTheme="minorHAnsi" w:cs="Tahoma"/>
                <w:b w:val="0"/>
                <w:color w:val="A6A6A6"/>
                <w:sz w:val="22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="00815EDF" w:rsidRPr="00815EDF">
              <w:rPr>
                <w:rStyle w:val="a3"/>
                <w:rFonts w:asciiTheme="minorHAnsi" w:hAnsiTheme="minorHAnsi" w:cs="Tahoma"/>
                <w:b w:val="0"/>
                <w:color w:val="A6A6A6"/>
                <w:sz w:val="22"/>
                <w:szCs w:val="20"/>
                <w:bdr w:val="none" w:sz="0" w:space="0" w:color="auto" w:frame="1"/>
                <w:shd w:val="clear" w:color="auto" w:fill="FFFFFF"/>
              </w:rPr>
              <w:t>MiningWorld Russia</w:t>
            </w:r>
          </w:p>
        </w:tc>
      </w:tr>
      <w:tr w:rsidR="00903FAC" w:rsidRPr="00903FAC" w:rsidTr="009A3E1F">
        <w:trPr>
          <w:gridAfter w:val="1"/>
          <w:wAfter w:w="596" w:type="dxa"/>
          <w:trHeight w:val="1158"/>
        </w:trPr>
        <w:tc>
          <w:tcPr>
            <w:tcW w:w="8256" w:type="dxa"/>
            <w:tcBorders>
              <w:top w:val="single" w:sz="12" w:space="0" w:color="ED7D31"/>
            </w:tcBorders>
            <w:shd w:val="clear" w:color="auto" w:fill="auto"/>
          </w:tcPr>
          <w:p w:rsidR="00815EDF" w:rsidRPr="00903FAC" w:rsidRDefault="00815EDF" w:rsidP="009B63E2">
            <w:pPr>
              <w:tabs>
                <w:tab w:val="left" w:pos="1152"/>
              </w:tabs>
              <w:jc w:val="both"/>
              <w:rPr>
                <w:rFonts w:asciiTheme="minorHAnsi" w:hAnsiTheme="minorHAnsi" w:cs="Tahoma"/>
                <w:b/>
                <w:color w:val="808000"/>
                <w:sz w:val="28"/>
                <w:szCs w:val="20"/>
              </w:rPr>
            </w:pPr>
          </w:p>
          <w:p w:rsidR="00903FAC" w:rsidRPr="00903FAC" w:rsidRDefault="00903FAC" w:rsidP="009B63E2">
            <w:pPr>
              <w:tabs>
                <w:tab w:val="left" w:pos="988"/>
              </w:tabs>
              <w:ind w:left="176"/>
              <w:jc w:val="both"/>
              <w:rPr>
                <w:rFonts w:asciiTheme="minorHAnsi" w:hAnsiTheme="minorHAnsi" w:cs="Tahoma"/>
                <w:b/>
                <w:color w:val="ED7D31"/>
                <w:sz w:val="22"/>
                <w:szCs w:val="22"/>
              </w:rPr>
            </w:pPr>
            <w:r w:rsidRPr="00903FAC">
              <w:rPr>
                <w:rFonts w:asciiTheme="minorHAnsi" w:hAnsiTheme="minorHAnsi" w:cs="Tahoma"/>
                <w:b/>
                <w:color w:val="ED7D31"/>
                <w:sz w:val="22"/>
                <w:szCs w:val="22"/>
              </w:rPr>
              <w:t>ПРЕСС-РЕЛИЗ</w:t>
            </w:r>
            <w:r w:rsidR="00D709A0" w:rsidRPr="001B5470">
              <w:rPr>
                <w:rFonts w:asciiTheme="minorHAnsi" w:hAnsiTheme="minorHAnsi" w:cs="Tahoma"/>
                <w:b/>
                <w:color w:val="ED7D31"/>
                <w:sz w:val="22"/>
                <w:szCs w:val="22"/>
              </w:rPr>
              <w:t xml:space="preserve"> </w:t>
            </w:r>
            <w:r w:rsidR="00D709A0">
              <w:rPr>
                <w:rFonts w:asciiTheme="minorHAnsi" w:hAnsiTheme="minorHAnsi" w:cs="Tahoma"/>
                <w:b/>
                <w:color w:val="ED7D31"/>
                <w:sz w:val="22"/>
                <w:szCs w:val="22"/>
              </w:rPr>
              <w:t>ПО ИТОГАМ ВЫСТАВКИ</w:t>
            </w:r>
            <w:r w:rsidRPr="00903FAC">
              <w:rPr>
                <w:rFonts w:asciiTheme="minorHAnsi" w:hAnsiTheme="minorHAnsi" w:cs="Tahoma"/>
                <w:b/>
                <w:color w:val="ED7D31"/>
                <w:sz w:val="22"/>
                <w:szCs w:val="22"/>
              </w:rPr>
              <w:t xml:space="preserve"> </w:t>
            </w:r>
          </w:p>
          <w:p w:rsidR="00903FAC" w:rsidRDefault="00903FAC" w:rsidP="009B63E2">
            <w:pPr>
              <w:tabs>
                <w:tab w:val="left" w:pos="988"/>
              </w:tabs>
              <w:ind w:left="176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5635C" w:rsidRPr="00DB1668" w:rsidRDefault="00C5635C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Tahoma"/>
                <w:b/>
                <w:color w:val="404040" w:themeColor="text1" w:themeTint="BF"/>
                <w:szCs w:val="22"/>
              </w:rPr>
            </w:pPr>
            <w:r w:rsidRPr="00DB1668">
              <w:rPr>
                <w:rFonts w:asciiTheme="minorHAnsi" w:hAnsiTheme="minorHAnsi" w:cs="Tahoma"/>
                <w:b/>
                <w:color w:val="404040" w:themeColor="text1" w:themeTint="BF"/>
                <w:szCs w:val="22"/>
              </w:rPr>
              <w:t>УСПЕХ ВЫ</w:t>
            </w:r>
            <w:r w:rsidR="005B3F1D" w:rsidRPr="00DB1668">
              <w:rPr>
                <w:rFonts w:asciiTheme="minorHAnsi" w:hAnsiTheme="minorHAnsi" w:cs="Tahoma"/>
                <w:b/>
                <w:color w:val="404040" w:themeColor="text1" w:themeTint="BF"/>
                <w:szCs w:val="22"/>
              </w:rPr>
              <w:t xml:space="preserve">СТАВКИ MININGWORLD RUSSIA 2017 </w:t>
            </w:r>
            <w:r w:rsidRPr="00DB1668">
              <w:rPr>
                <w:rFonts w:asciiTheme="minorHAnsi" w:hAnsiTheme="minorHAnsi" w:cs="Tahoma"/>
                <w:b/>
                <w:color w:val="404040" w:themeColor="text1" w:themeTint="BF"/>
                <w:szCs w:val="22"/>
              </w:rPr>
              <w:t xml:space="preserve"> </w:t>
            </w:r>
          </w:p>
          <w:p w:rsidR="00C5635C" w:rsidRDefault="00C5635C" w:rsidP="009B63E2">
            <w:pPr>
              <w:tabs>
                <w:tab w:val="left" w:pos="988"/>
              </w:tabs>
              <w:ind w:left="176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C5635C" w:rsidRDefault="00903FAC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03FA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С 25 по 27 апреля 2017 года в Москве, МВЦ «Крокус Экспо» </w:t>
            </w:r>
            <w:r w:rsidR="004554EF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прошла</w:t>
            </w:r>
            <w:r w:rsidRPr="00903FA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</w:t>
            </w:r>
            <w:r w:rsidR="009B63E2">
              <w:rPr>
                <w:rFonts w:asciiTheme="minorHAnsi" w:hAnsiTheme="minorHAnsi" w:cs="Tahoma"/>
                <w:b/>
                <w:bCs/>
                <w:sz w:val="22"/>
                <w:szCs w:val="22"/>
              </w:rPr>
              <w:br/>
            </w:r>
            <w:r w:rsidRPr="00903FA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21-я Международная выставка </w:t>
            </w:r>
            <w:r w:rsidRPr="00903FAC">
              <w:rPr>
                <w:rFonts w:asciiTheme="minorHAnsi" w:hAnsiTheme="minorHAnsi"/>
                <w:b/>
                <w:sz w:val="22"/>
                <w:szCs w:val="22"/>
              </w:rPr>
              <w:t>машин и оборудования для добычи, обогащения и транспортировки полезных ископаемых</w:t>
            </w:r>
            <w:r w:rsidRPr="00903FA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MiningWorld Russia.</w:t>
            </w:r>
          </w:p>
          <w:p w:rsidR="00C5635C" w:rsidRDefault="00C5635C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</w:p>
          <w:p w:rsidR="00C5635C" w:rsidRDefault="00EA0456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В выставке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2017 года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п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риняли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участие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285 компаний</w:t>
            </w:r>
            <w:r w:rsidR="00497846" w:rsidRPr="00497846">
              <w:rPr>
                <w:rFonts w:asciiTheme="minorHAnsi" w:hAnsiTheme="minorHAnsi"/>
                <w:bCs/>
                <w:sz w:val="22"/>
                <w:szCs w:val="22"/>
              </w:rPr>
              <w:t>, что на 11%</w:t>
            </w:r>
            <w:r w:rsidR="0049784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больше, чем в 2016 году. Страны, которые представляли участники выставки – Россия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EA0456">
              <w:rPr>
                <w:rFonts w:asciiTheme="minorHAnsi" w:hAnsiTheme="minorHAnsi"/>
                <w:bCs/>
                <w:sz w:val="22"/>
                <w:szCs w:val="22"/>
              </w:rPr>
              <w:t>Австрали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я, Австрия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Беларус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ь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Бельги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Великобритани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Германи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EA0456">
              <w:rPr>
                <w:rFonts w:asciiTheme="minorHAnsi" w:hAnsiTheme="minorHAnsi"/>
                <w:bCs/>
                <w:sz w:val="22"/>
                <w:szCs w:val="22"/>
              </w:rPr>
              <w:t>Иран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Испани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я, Италия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EA0456">
              <w:rPr>
                <w:rFonts w:asciiTheme="minorHAnsi" w:hAnsiTheme="minorHAnsi"/>
                <w:bCs/>
                <w:sz w:val="22"/>
                <w:szCs w:val="22"/>
              </w:rPr>
              <w:t>Казахстан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Канад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а, Китай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Норвеги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Pr="00EA0456">
              <w:rPr>
                <w:rFonts w:asciiTheme="minorHAnsi" w:hAnsiTheme="minorHAnsi"/>
                <w:bCs/>
                <w:sz w:val="22"/>
                <w:szCs w:val="22"/>
              </w:rPr>
              <w:t>США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, Турция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Финлянди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Франци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Хорвати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 xml:space="preserve">я </w:t>
            </w:r>
            <w:r w:rsidR="00EC2469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и Япония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73151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5635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125537" w:rsidRDefault="00125537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25537" w:rsidRDefault="00497846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П</w:t>
            </w:r>
            <w:r w:rsidR="00125537" w:rsidRPr="00EA0456">
              <w:rPr>
                <w:rFonts w:asciiTheme="minorHAnsi" w:hAnsiTheme="minorHAnsi"/>
                <w:bCs/>
                <w:sz w:val="22"/>
                <w:szCs w:val="22"/>
              </w:rPr>
              <w:t xml:space="preserve">лощадь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выставки 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 xml:space="preserve">выросла на </w:t>
            </w:r>
            <w:r w:rsidR="00125537" w:rsidRPr="00C5635C">
              <w:rPr>
                <w:rFonts w:asciiTheme="minorHAnsi" w:hAnsiTheme="minorHAnsi"/>
                <w:bCs/>
                <w:sz w:val="22"/>
                <w:szCs w:val="22"/>
              </w:rPr>
              <w:t>24%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 xml:space="preserve"> и составила</w:t>
            </w:r>
            <w:r w:rsidR="00125537" w:rsidRPr="00EA0456">
              <w:rPr>
                <w:rFonts w:asciiTheme="minorHAnsi" w:hAnsiTheme="minorHAnsi"/>
                <w:bCs/>
                <w:sz w:val="22"/>
                <w:szCs w:val="22"/>
              </w:rPr>
              <w:t> </w:t>
            </w:r>
            <w:r w:rsidR="00125537" w:rsidRPr="00EA0456">
              <w:rPr>
                <w:rFonts w:asciiTheme="minorHAnsi" w:hAnsiTheme="minorHAnsi"/>
                <w:b/>
                <w:bCs/>
                <w:sz w:val="22"/>
                <w:szCs w:val="22"/>
              </w:rPr>
              <w:t>8 133 кв.</w:t>
            </w:r>
            <w:r w:rsidR="0012553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м</w:t>
            </w:r>
            <w:r w:rsidR="00125537" w:rsidRPr="00125537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C5635C" w:rsidRDefault="00C5635C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EA0456" w:rsidRPr="00EA0456" w:rsidRDefault="00EA0456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EA0456">
              <w:rPr>
                <w:rFonts w:asciiTheme="minorHAnsi" w:hAnsiTheme="minorHAnsi"/>
                <w:bCs/>
                <w:sz w:val="22"/>
                <w:szCs w:val="22"/>
              </w:rPr>
              <w:t>За 3 дня выставку посетили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EA04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4 175 </w:t>
            </w:r>
            <w:r w:rsidR="00497846">
              <w:rPr>
                <w:rFonts w:asciiTheme="minorHAnsi" w:hAnsiTheme="minorHAnsi"/>
                <w:b/>
                <w:bCs/>
                <w:sz w:val="22"/>
                <w:szCs w:val="22"/>
              </w:rPr>
              <w:t>человек</w:t>
            </w:r>
            <w:r w:rsidRPr="00EA0456">
              <w:rPr>
                <w:rFonts w:asciiTheme="minorHAnsi" w:hAnsiTheme="minorHAnsi"/>
                <w:bCs/>
                <w:sz w:val="22"/>
                <w:szCs w:val="22"/>
              </w:rPr>
              <w:t xml:space="preserve"> из 42 зарубе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жных стран и 64 регионов России, что на 26% больше посетителей, чем в прошлом году.</w:t>
            </w:r>
          </w:p>
          <w:p w:rsidR="00EA0456" w:rsidRDefault="00EA0456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25C75" w:rsidRDefault="001B5470" w:rsidP="00A25C75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В 2017 году MiningWorld Russia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 xml:space="preserve">превзошла </w:t>
            </w:r>
            <w:r w:rsidR="001D3025">
              <w:rPr>
                <w:rFonts w:asciiTheme="minorHAnsi" w:hAnsiTheme="minorHAnsi"/>
                <w:bCs/>
                <w:sz w:val="22"/>
                <w:szCs w:val="22"/>
              </w:rPr>
              <w:t>ожидания большинства участников</w:t>
            </w:r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 xml:space="preserve">, которые высоко оценили 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 xml:space="preserve">увеличение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количеств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>а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 xml:space="preserve"> и профессионализм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посетителей выставки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, что позволило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дости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г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н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уть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поставленны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е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цел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A25C75" w:rsidRDefault="00A25C75" w:rsidP="00A25C75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25C75" w:rsidRPr="00A25C75" w:rsidRDefault="00A25C75" w:rsidP="00A25C75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A25C75">
              <w:rPr>
                <w:rFonts w:asciiTheme="minorHAnsi" w:hAnsiTheme="minorHAnsi"/>
                <w:bCs/>
                <w:sz w:val="22"/>
                <w:szCs w:val="22"/>
              </w:rPr>
              <w:t>Об успехе выставки свидетельствуют и отзывы самих участников:</w:t>
            </w:r>
          </w:p>
          <w:p w:rsidR="00A25C75" w:rsidRDefault="00A25C75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B5470" w:rsidRPr="001B5470" w:rsidRDefault="00DB1668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«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Наша компания </w:t>
            </w:r>
            <w:r w:rsidR="005B3F1D" w:rsidRP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принимала участие </w:t>
            </w:r>
            <w:r w:rsidR="00A25C75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в выставке </w:t>
            </w:r>
            <w:r w:rsidR="005B3F1D" w:rsidRP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с двумя выставочными стендами, чтобы максимально полно представить направления своей деятельности и </w:t>
            </w:r>
            <w:r w:rsidR="00A25C75">
              <w:rPr>
                <w:rFonts w:asciiTheme="minorHAnsi" w:hAnsiTheme="minorHAnsi"/>
                <w:bCs/>
                <w:i/>
                <w:sz w:val="22"/>
                <w:szCs w:val="22"/>
              </w:rPr>
              <w:t>продемонстрировать</w:t>
            </w:r>
            <w:r w:rsidR="005B3F1D" w:rsidRP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инновационные решения </w:t>
            </w:r>
            <w:r w:rsidR="00EC2469"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</w:r>
            <w:r w:rsidR="005B3F1D" w:rsidRPr="005B3F1D">
              <w:rPr>
                <w:rFonts w:asciiTheme="minorHAnsi" w:hAnsiTheme="minorHAnsi"/>
                <w:bCs/>
                <w:i/>
                <w:sz w:val="22"/>
                <w:szCs w:val="22"/>
              </w:rPr>
              <w:t>для буровзрывных работ в горнодобывающей промышленности.</w:t>
            </w:r>
            <w:r w:rsidR="005B3F1D">
              <w:rPr>
                <w:rFonts w:asciiTheme="minorHAnsi" w:hAnsiTheme="minorHAnsi"/>
              </w:rPr>
              <w:t xml:space="preserve"> 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>Стенды компании «АЗОТТЕХ» посетили представители ведущих предприятий горнодобывающей индустрии, был проведен ряд переговоров о дальнейшей совместной работе и обозначены горизонты развития в сфере буровзрывного сервиса. Подводя итоги, можно с уверенностью сказать, что выставка прошла успешно!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».</w:t>
            </w:r>
          </w:p>
          <w:p w:rsidR="001B5470" w:rsidRDefault="001B5470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>Мария</w:t>
            </w:r>
            <w:r w:rsidR="00DB166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B1668" w:rsidRPr="001B5470">
              <w:rPr>
                <w:rFonts w:asciiTheme="minorHAnsi" w:hAnsiTheme="minorHAnsi"/>
                <w:bCs/>
                <w:sz w:val="22"/>
                <w:szCs w:val="22"/>
              </w:rPr>
              <w:t>Ипатова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DB1668">
              <w:rPr>
                <w:rFonts w:asciiTheme="minorHAnsi" w:hAnsiTheme="minorHAnsi"/>
                <w:bCs/>
                <w:sz w:val="22"/>
                <w:szCs w:val="22"/>
              </w:rPr>
              <w:t>«</w:t>
            </w:r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>АЗОТТЕХ</w:t>
            </w:r>
            <w:r w:rsidR="00DB1668">
              <w:rPr>
                <w:rFonts w:asciiTheme="minorHAnsi" w:hAnsiTheme="minorHAnsi"/>
                <w:bCs/>
                <w:sz w:val="22"/>
                <w:szCs w:val="22"/>
              </w:rPr>
              <w:t>»</w:t>
            </w:r>
          </w:p>
          <w:p w:rsidR="001B5470" w:rsidRDefault="001B5470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B5470" w:rsidRPr="001B5470" w:rsidRDefault="00DB1668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«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В этом году нам удалось встретиться с ключевыми клиентами, а также пообщаться с потенциальными партнерами и завести новые интересные знакомства. Хотелось бы отметить увеличение количества посетителей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по сравнению с предыдущим годом. Надеемся на сохранение этой тенденции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>в перспективе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»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. </w:t>
            </w:r>
          </w:p>
          <w:p w:rsidR="001B5470" w:rsidRDefault="001B5470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 xml:space="preserve">Ольга </w:t>
            </w:r>
            <w:proofErr w:type="spellStart"/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>Швыдко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DB1668">
              <w:rPr>
                <w:rFonts w:asciiTheme="minorHAnsi" w:hAnsiTheme="minorHAnsi"/>
                <w:bCs/>
                <w:sz w:val="22"/>
                <w:szCs w:val="22"/>
              </w:rPr>
              <w:t>«</w:t>
            </w:r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>Карьер-Сервис</w:t>
            </w:r>
            <w:r w:rsidR="00DB1668">
              <w:rPr>
                <w:rFonts w:asciiTheme="minorHAnsi" w:hAnsiTheme="minorHAnsi"/>
                <w:bCs/>
                <w:sz w:val="22"/>
                <w:szCs w:val="22"/>
              </w:rPr>
              <w:t>»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1B5470" w:rsidRDefault="001B5470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B5470" w:rsidRPr="001B5470" w:rsidRDefault="00DB1668" w:rsidP="001B5470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«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Должен отметить, что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со стороны специалистов был высокий интерес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  <w:t>к нашему стенду и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предлагаемому оборудованию. За три дня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выставки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мы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встретились и провели переговоры 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>с существующими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клиентами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  <w:r w:rsidR="005B3F1D">
              <w:rPr>
                <w:rFonts w:asciiTheme="minorHAnsi" w:hAnsiTheme="minorHAnsi"/>
                <w:bCs/>
                <w:i/>
                <w:sz w:val="22"/>
                <w:szCs w:val="22"/>
              </w:rPr>
              <w:br/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>и познакомились с новыми потенциальными заказчиками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»</w:t>
            </w:r>
            <w:r w:rsidR="001B5470" w:rsidRPr="001B5470">
              <w:rPr>
                <w:rFonts w:asciiTheme="minorHAnsi" w:hAnsiTheme="minorHAnsi"/>
                <w:bCs/>
                <w:i/>
                <w:sz w:val="22"/>
                <w:szCs w:val="22"/>
              </w:rPr>
              <w:t>.</w:t>
            </w:r>
            <w:r w:rsidR="001B5470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 </w:t>
            </w:r>
          </w:p>
          <w:p w:rsidR="005B3F1D" w:rsidRPr="005B3F1D" w:rsidRDefault="001B5470" w:rsidP="005B3F1D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Arial"/>
                <w:b/>
                <w:bCs/>
                <w:color w:val="000000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Александр Кузнецов, </w:t>
            </w:r>
            <w:proofErr w:type="spellStart"/>
            <w:r w:rsidRPr="001B5470">
              <w:rPr>
                <w:rFonts w:asciiTheme="minorHAnsi" w:hAnsiTheme="minorHAnsi"/>
                <w:bCs/>
                <w:sz w:val="22"/>
                <w:szCs w:val="22"/>
              </w:rPr>
              <w:t>Komatsu</w:t>
            </w:r>
            <w:proofErr w:type="spellEnd"/>
          </w:p>
          <w:p w:rsidR="005B3F1D" w:rsidRDefault="005B3F1D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Tahoma"/>
                <w:b/>
                <w:color w:val="ED7D31"/>
                <w:sz w:val="22"/>
                <w:szCs w:val="22"/>
              </w:rPr>
            </w:pPr>
          </w:p>
          <w:p w:rsidR="00F252BC" w:rsidRPr="00A25C75" w:rsidRDefault="00F252BC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 w:cs="Tahoma"/>
                <w:b/>
                <w:color w:val="404040" w:themeColor="text1" w:themeTint="BF"/>
                <w:szCs w:val="22"/>
              </w:rPr>
            </w:pPr>
            <w:r w:rsidRPr="00A25C75">
              <w:rPr>
                <w:rFonts w:asciiTheme="minorHAnsi" w:hAnsiTheme="minorHAnsi" w:cs="Tahoma"/>
                <w:b/>
                <w:color w:val="404040" w:themeColor="text1" w:themeTint="BF"/>
                <w:szCs w:val="22"/>
              </w:rPr>
              <w:lastRenderedPageBreak/>
              <w:t>ДЕЛОВАЯ ПРОГРАММА</w:t>
            </w:r>
          </w:p>
          <w:p w:rsidR="00F252BC" w:rsidRDefault="00F252BC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F6D04" w:rsidRDefault="009B63E2" w:rsidP="005B3F1D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25 апреля в </w:t>
            </w:r>
            <w:r w:rsidRPr="001361A4">
              <w:rPr>
                <w:rFonts w:asciiTheme="minorHAnsi" w:hAnsiTheme="minorHAnsi"/>
                <w:bCs/>
                <w:sz w:val="22"/>
                <w:szCs w:val="22"/>
              </w:rPr>
              <w:t xml:space="preserve">рамках деловой программы выставки состоялась </w:t>
            </w:r>
            <w:r w:rsidR="005B3F1D" w:rsidRPr="00820C22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r w:rsidR="001361A4" w:rsidRPr="00820C22">
              <w:rPr>
                <w:rFonts w:asciiTheme="minorHAnsi" w:hAnsiTheme="minorHAnsi"/>
                <w:b/>
                <w:bCs/>
                <w:sz w:val="22"/>
                <w:szCs w:val="22"/>
              </w:rPr>
              <w:t>еждународная конференция</w:t>
            </w:r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361A4" w:rsidRPr="00F91D13">
              <w:rPr>
                <w:rFonts w:asciiTheme="minorHAnsi" w:hAnsiTheme="minorHAnsi"/>
                <w:b/>
                <w:bCs/>
                <w:sz w:val="22"/>
                <w:szCs w:val="22"/>
              </w:rPr>
              <w:t>«Технологии подземной разработки месторождений полезных ископаемых»</w:t>
            </w:r>
            <w:r w:rsidR="001F6D04">
              <w:rPr>
                <w:rFonts w:asciiTheme="minorHAnsi" w:hAnsiTheme="minorHAnsi"/>
                <w:bCs/>
                <w:sz w:val="22"/>
                <w:szCs w:val="22"/>
              </w:rPr>
              <w:t xml:space="preserve">, на которой производители и поставщики </w:t>
            </w:r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оборудования 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>и технологий для подземных горных работ и представители ведущих горно-обогатительных предприятий обсудили актуальные вопросы отрасли</w:t>
            </w:r>
            <w:r w:rsidR="001F6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 xml:space="preserve"> Модератором конференции выступил Евгений Викторович Кузьмин, профессор, начальник отдела технической экспертизы инжинирингового центра </w:t>
            </w:r>
            <w:proofErr w:type="spellStart"/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>ВНИПИпромтехнологии</w:t>
            </w:r>
            <w:proofErr w:type="spellEnd"/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>д.т.н</w:t>
            </w:r>
            <w:proofErr w:type="spellEnd"/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>, действительный член РАЕН.</w:t>
            </w:r>
            <w:r w:rsidR="001361A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>Спонсорами</w:t>
            </w:r>
            <w:r w:rsidR="005B3F1D">
              <w:rPr>
                <w:rFonts w:asciiTheme="minorHAnsi" w:hAnsiTheme="minorHAnsi"/>
                <w:bCs/>
                <w:sz w:val="22"/>
                <w:szCs w:val="22"/>
              </w:rPr>
              <w:t xml:space="preserve"> конференции выступили компании</w:t>
            </w:r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 «</w:t>
            </w:r>
            <w:proofErr w:type="spellStart"/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>Орика</w:t>
            </w:r>
            <w:proofErr w:type="spellEnd"/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>», «</w:t>
            </w:r>
            <w:proofErr w:type="spellStart"/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>Зульцер</w:t>
            </w:r>
            <w:proofErr w:type="spellEnd"/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 Насосы», группа компаний «</w:t>
            </w:r>
            <w:proofErr w:type="spellStart"/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>Канекс</w:t>
            </w:r>
            <w:proofErr w:type="spellEnd"/>
            <w:r w:rsidR="001F6D04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». </w:t>
            </w:r>
            <w:r w:rsidR="001361A4" w:rsidRPr="001361A4">
              <w:rPr>
                <w:rFonts w:asciiTheme="minorHAnsi" w:hAnsiTheme="minorHAnsi"/>
                <w:bCs/>
                <w:sz w:val="22"/>
                <w:szCs w:val="22"/>
              </w:rPr>
              <w:t>В конференции приняли участие 1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t>67</w:t>
            </w:r>
            <w:r w:rsidR="001F6D04">
              <w:rPr>
                <w:rFonts w:asciiTheme="minorHAnsi" w:hAnsiTheme="minorHAnsi"/>
                <w:bCs/>
                <w:sz w:val="22"/>
                <w:szCs w:val="22"/>
              </w:rPr>
              <w:t xml:space="preserve"> делегат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t>ов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 xml:space="preserve">, было заслушано 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br/>
              <w:t xml:space="preserve">14 докладов. </w:t>
            </w:r>
          </w:p>
          <w:p w:rsidR="001F6D04" w:rsidRDefault="001F6D04" w:rsidP="001F6D04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1F6D04" w:rsidRDefault="001F6D04" w:rsidP="001F6D04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26 апреля </w:t>
            </w:r>
            <w:r w:rsidR="001361A4">
              <w:rPr>
                <w:rFonts w:asciiTheme="minorHAnsi" w:hAnsiTheme="minorHAnsi"/>
                <w:bCs/>
                <w:sz w:val="22"/>
                <w:szCs w:val="22"/>
              </w:rPr>
              <w:t>состоял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а</w:t>
            </w:r>
            <w:r w:rsidR="001361A4">
              <w:rPr>
                <w:rFonts w:asciiTheme="minorHAnsi" w:hAnsiTheme="minorHAnsi"/>
                <w:bCs/>
                <w:sz w:val="22"/>
                <w:szCs w:val="22"/>
              </w:rPr>
              <w:t xml:space="preserve">сь </w:t>
            </w:r>
            <w:r w:rsidR="005B3F1D" w:rsidRPr="00820C22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r w:rsidR="00903FAC" w:rsidRPr="00820C22">
              <w:rPr>
                <w:rFonts w:asciiTheme="minorHAnsi" w:hAnsiTheme="minorHAnsi"/>
                <w:b/>
                <w:bCs/>
                <w:sz w:val="22"/>
                <w:szCs w:val="22"/>
              </w:rPr>
              <w:t>еждународная конференция</w:t>
            </w:r>
            <w:r w:rsidR="00903FAC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03FAC" w:rsidRPr="00F91D13">
              <w:rPr>
                <w:rFonts w:asciiTheme="minorHAnsi" w:hAnsiTheme="minorHAnsi"/>
                <w:b/>
                <w:bCs/>
                <w:sz w:val="22"/>
                <w:szCs w:val="22"/>
              </w:rPr>
              <w:t>«Золото и технологии»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>на</w:t>
            </w:r>
            <w:r w:rsidRPr="0063021E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которой представители предприятий – лидеров мировой золотодобычи – обменялись опытом, обсудили актуальные вопросы внедрения инноваций. Модератор конференции – Сергей Григорьевич Кашуба, председатель Союза золотопромышленников России. </w:t>
            </w:r>
            <w:r w:rsidR="00F91D13" w:rsidRPr="001F6D04">
              <w:rPr>
                <w:rFonts w:asciiTheme="minorHAnsi" w:hAnsiTheme="minorHAnsi"/>
                <w:bCs/>
                <w:sz w:val="22"/>
                <w:szCs w:val="22"/>
              </w:rPr>
              <w:t>Спонсорами</w:t>
            </w:r>
            <w:r w:rsidR="005B3F1D">
              <w:rPr>
                <w:rFonts w:asciiTheme="minorHAnsi" w:hAnsiTheme="minorHAnsi"/>
                <w:bCs/>
                <w:sz w:val="22"/>
                <w:szCs w:val="22"/>
              </w:rPr>
              <w:t xml:space="preserve"> конференции выступили компании</w:t>
            </w:r>
            <w:r w:rsidR="00F91D13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China</w:t>
            </w:r>
            <w:proofErr w:type="spellEnd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Gold</w:t>
            </w:r>
            <w:proofErr w:type="spellEnd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 xml:space="preserve"> Trade, «</w:t>
            </w:r>
            <w:proofErr w:type="spellStart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Энерголаб</w:t>
            </w:r>
            <w:proofErr w:type="spellEnd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» и «</w:t>
            </w:r>
            <w:proofErr w:type="spellStart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Иргиредмет</w:t>
            </w:r>
            <w:proofErr w:type="spellEnd"/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».</w:t>
            </w:r>
            <w:r w:rsidR="00F91D13">
              <w:t xml:space="preserve"> </w:t>
            </w:r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В конференции приняли участие 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>182 делегата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>, было заслушано 16 докладов.</w:t>
            </w:r>
          </w:p>
          <w:p w:rsidR="001F6D04" w:rsidRDefault="001F6D04" w:rsidP="001F6D04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03FAC" w:rsidRDefault="001F6D04" w:rsidP="001F6D04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Также во второй день выставки в рамках деловой программы выставки состоялась </w:t>
            </w:r>
            <w:r w:rsidR="005B3F1D" w:rsidRPr="00820C22">
              <w:rPr>
                <w:rFonts w:asciiTheme="minorHAnsi" w:hAnsiTheme="minorHAnsi"/>
                <w:b/>
                <w:bCs/>
                <w:sz w:val="22"/>
                <w:szCs w:val="22"/>
              </w:rPr>
              <w:t>м</w:t>
            </w:r>
            <w:r w:rsidR="00903FAC" w:rsidRPr="00820C22">
              <w:rPr>
                <w:rFonts w:asciiTheme="minorHAnsi" w:hAnsiTheme="minorHAnsi"/>
                <w:b/>
                <w:bCs/>
                <w:sz w:val="22"/>
                <w:szCs w:val="22"/>
              </w:rPr>
              <w:t>еждународная конференция</w:t>
            </w:r>
            <w:r w:rsidR="00903FAC"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903FAC" w:rsidRPr="00F91D13">
              <w:rPr>
                <w:rFonts w:asciiTheme="minorHAnsi" w:hAnsiTheme="minorHAnsi"/>
                <w:b/>
                <w:bCs/>
                <w:sz w:val="22"/>
                <w:szCs w:val="22"/>
              </w:rPr>
              <w:t>«Машины и оборудование для открытых горных работ»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 xml:space="preserve">где 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t>производители и поставщики</w:t>
            </w:r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 xml:space="preserve"> оборудования для открытых горных работ и представители ведущих горно-обогатительных предприятий России </w:t>
            </w:r>
            <w:r w:rsidR="00FC3B1E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>и зарубежных стран обменялись опытом и обсудили проблемы</w:t>
            </w:r>
            <w:r w:rsidR="005B3F1D">
              <w:rPr>
                <w:rFonts w:asciiTheme="minorHAnsi" w:hAnsiTheme="minorHAnsi"/>
                <w:bCs/>
                <w:sz w:val="22"/>
                <w:szCs w:val="22"/>
              </w:rPr>
              <w:t xml:space="preserve"> развития</w:t>
            </w:r>
            <w:r w:rsidR="00F91D13" w:rsidRPr="00F91D13">
              <w:rPr>
                <w:rFonts w:asciiTheme="minorHAnsi" w:hAnsiTheme="minorHAnsi"/>
                <w:bCs/>
                <w:sz w:val="22"/>
                <w:szCs w:val="22"/>
              </w:rPr>
              <w:t xml:space="preserve"> отрасли</w:t>
            </w:r>
            <w:r w:rsidR="00F91D13"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Модератором конференции выступил Роман Юрьевич </w:t>
            </w:r>
            <w:proofErr w:type="spellStart"/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>Подэрни</w:t>
            </w:r>
            <w:proofErr w:type="spellEnd"/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>, профессор кафедры «Горные машины, транспорт и машиностроение» НИТУ «</w:t>
            </w:r>
            <w:proofErr w:type="spellStart"/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>МИСиС</w:t>
            </w:r>
            <w:proofErr w:type="spellEnd"/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 xml:space="preserve">», </w:t>
            </w:r>
            <w:r w:rsidR="00EC2469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Pr="001F6D04">
              <w:rPr>
                <w:rFonts w:asciiTheme="minorHAnsi" w:hAnsiTheme="minorHAnsi"/>
                <w:bCs/>
                <w:sz w:val="22"/>
                <w:szCs w:val="22"/>
              </w:rPr>
              <w:t>д.т.н., действительный член РАЕН</w:t>
            </w:r>
            <w:r w:rsidR="00D709A0" w:rsidRPr="001F6D04">
              <w:rPr>
                <w:rFonts w:asciiTheme="minorHAnsi" w:hAnsiTheme="minorHAnsi"/>
                <w:bCs/>
                <w:sz w:val="22"/>
                <w:szCs w:val="22"/>
              </w:rPr>
              <w:t>. Спонсорами конференции выступили компании</w:t>
            </w:r>
            <w:r w:rsidR="00D709A0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D709A0" w:rsidRPr="00D709A0">
              <w:rPr>
                <w:rFonts w:asciiTheme="minorHAnsi" w:hAnsiTheme="minorHAnsi"/>
                <w:bCs/>
                <w:sz w:val="22"/>
                <w:szCs w:val="22"/>
              </w:rPr>
              <w:t>Komatsu</w:t>
            </w:r>
            <w:proofErr w:type="spellEnd"/>
            <w:r w:rsidR="00D709A0">
              <w:rPr>
                <w:rFonts w:asciiTheme="minorHAnsi" w:hAnsiTheme="minorHAnsi"/>
                <w:bCs/>
                <w:sz w:val="22"/>
                <w:szCs w:val="22"/>
              </w:rPr>
              <w:t xml:space="preserve">, </w:t>
            </w:r>
            <w:proofErr w:type="spellStart"/>
            <w:r w:rsidR="00D709A0" w:rsidRPr="00D709A0">
              <w:rPr>
                <w:rFonts w:asciiTheme="minorHAnsi" w:hAnsiTheme="minorHAnsi"/>
                <w:bCs/>
                <w:sz w:val="22"/>
                <w:szCs w:val="22"/>
              </w:rPr>
              <w:t>Bedeschi</w:t>
            </w:r>
            <w:proofErr w:type="spellEnd"/>
            <w:r w:rsidR="00D709A0" w:rsidRPr="00D709A0">
              <w:rPr>
                <w:rFonts w:asciiTheme="minorHAnsi" w:hAnsiTheme="minorHAnsi"/>
                <w:bCs/>
                <w:sz w:val="22"/>
                <w:szCs w:val="22"/>
              </w:rPr>
              <w:t xml:space="preserve"> и AMC.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361A4">
              <w:rPr>
                <w:rFonts w:asciiTheme="minorHAnsi" w:hAnsiTheme="minorHAnsi"/>
                <w:bCs/>
                <w:sz w:val="22"/>
                <w:szCs w:val="22"/>
              </w:rPr>
              <w:t>В конференции приняли участие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1361A4">
              <w:rPr>
                <w:rFonts w:asciiTheme="minorHAnsi" w:hAnsiTheme="minorHAnsi"/>
                <w:bCs/>
                <w:sz w:val="22"/>
                <w:szCs w:val="22"/>
              </w:rPr>
              <w:t>123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делегата</w:t>
            </w:r>
            <w:r w:rsidR="00125537">
              <w:rPr>
                <w:rFonts w:asciiTheme="minorHAnsi" w:hAnsiTheme="minorHAnsi"/>
                <w:bCs/>
                <w:sz w:val="22"/>
                <w:szCs w:val="22"/>
              </w:rPr>
              <w:t>, было заслушано 14 докладов.</w:t>
            </w:r>
          </w:p>
          <w:p w:rsidR="001F6D04" w:rsidRDefault="001F6D04" w:rsidP="001F6D04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C3B1E" w:rsidRPr="00FC3B1E" w:rsidRDefault="00FC3B1E" w:rsidP="00FC3B1E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C3B1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Также в рамках деловой программы выставки состоялись: </w:t>
            </w:r>
          </w:p>
          <w:p w:rsidR="00903FAC" w:rsidRPr="00903FAC" w:rsidRDefault="00903FAC" w:rsidP="008534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903FAC">
              <w:rPr>
                <w:rFonts w:asciiTheme="minorHAnsi" w:hAnsiTheme="minorHAnsi" w:cs="Arial"/>
                <w:sz w:val="22"/>
                <w:szCs w:val="22"/>
              </w:rPr>
              <w:t>Презентация «</w:t>
            </w:r>
            <w:proofErr w:type="spellStart"/>
            <w:r w:rsidRPr="00903FAC">
              <w:rPr>
                <w:rFonts w:asciiTheme="minorHAnsi" w:hAnsiTheme="minorHAnsi" w:cs="Arial"/>
                <w:sz w:val="22"/>
                <w:szCs w:val="22"/>
              </w:rPr>
              <w:t>КолаВент</w:t>
            </w:r>
            <w:proofErr w:type="spellEnd"/>
            <w:r w:rsidRPr="00903FAC">
              <w:rPr>
                <w:rFonts w:asciiTheme="minorHAnsi" w:hAnsiTheme="minorHAnsi" w:cs="Arial"/>
                <w:sz w:val="22"/>
                <w:szCs w:val="22"/>
              </w:rPr>
              <w:t xml:space="preserve"> - вентиляционное, обеспыливающее оборудование CFT </w:t>
            </w:r>
            <w:proofErr w:type="spellStart"/>
            <w:r w:rsidRPr="00903FAC">
              <w:rPr>
                <w:rFonts w:asciiTheme="minorHAnsi" w:hAnsiTheme="minorHAnsi" w:cs="Arial"/>
                <w:sz w:val="22"/>
                <w:szCs w:val="22"/>
              </w:rPr>
              <w:t>Korfmman</w:t>
            </w:r>
            <w:proofErr w:type="spellEnd"/>
            <w:r w:rsidRPr="00903FAC">
              <w:rPr>
                <w:rFonts w:asciiTheme="minorHAnsi" w:hAnsiTheme="minorHAnsi" w:cs="Arial"/>
                <w:sz w:val="22"/>
                <w:szCs w:val="22"/>
              </w:rPr>
              <w:t xml:space="preserve"> для тоннелей шахт и рудников» (организатор – «</w:t>
            </w:r>
            <w:proofErr w:type="spellStart"/>
            <w:r w:rsidRPr="00903FAC">
              <w:rPr>
                <w:rFonts w:asciiTheme="minorHAnsi" w:hAnsiTheme="minorHAnsi" w:cs="Arial"/>
                <w:sz w:val="22"/>
                <w:szCs w:val="22"/>
              </w:rPr>
              <w:t>КолаВент</w:t>
            </w:r>
            <w:proofErr w:type="spellEnd"/>
            <w:r w:rsidRPr="00903FAC">
              <w:rPr>
                <w:rFonts w:asciiTheme="minorHAnsi" w:hAnsiTheme="minorHAnsi" w:cs="Arial"/>
                <w:sz w:val="22"/>
                <w:szCs w:val="22"/>
              </w:rPr>
              <w:t>»)</w:t>
            </w:r>
          </w:p>
          <w:p w:rsidR="00903FAC" w:rsidRPr="00903FAC" w:rsidRDefault="00903FAC" w:rsidP="008534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903FAC">
              <w:rPr>
                <w:rFonts w:asciiTheme="minorHAnsi" w:hAnsiTheme="minorHAnsi" w:cs="Arial"/>
                <w:sz w:val="22"/>
                <w:szCs w:val="22"/>
              </w:rPr>
              <w:t>Презентация «Минимизация затрат ведения взрывных работ при разработке месторождений открытым и подземным способом за счет применения мобильных модульных технологических линий» (организатор – «НИПИГОРМАШ»)</w:t>
            </w:r>
          </w:p>
          <w:p w:rsidR="00903FAC" w:rsidRPr="00903FAC" w:rsidRDefault="00903FAC" w:rsidP="008534D4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903FAC">
              <w:rPr>
                <w:rFonts w:asciiTheme="minorHAnsi" w:hAnsiTheme="minorHAnsi" w:cs="Arial"/>
                <w:sz w:val="22"/>
                <w:szCs w:val="22"/>
              </w:rPr>
              <w:t>Cеминар</w:t>
            </w:r>
            <w:proofErr w:type="spellEnd"/>
            <w:r w:rsidRPr="00903FAC">
              <w:rPr>
                <w:rFonts w:asciiTheme="minorHAnsi" w:hAnsiTheme="minorHAnsi" w:cs="Arial"/>
                <w:sz w:val="22"/>
                <w:szCs w:val="22"/>
              </w:rPr>
              <w:t xml:space="preserve"> «Решения для эффективного планирования горных работ» (организатор – </w:t>
            </w:r>
            <w:proofErr w:type="spellStart"/>
            <w:r w:rsidRPr="00903FAC">
              <w:rPr>
                <w:rFonts w:asciiTheme="minorHAnsi" w:hAnsiTheme="minorHAnsi" w:cs="Arial"/>
                <w:sz w:val="22"/>
                <w:szCs w:val="22"/>
              </w:rPr>
              <w:t>Deswik</w:t>
            </w:r>
            <w:proofErr w:type="spellEnd"/>
            <w:r w:rsidRPr="00903FAC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252BC" w:rsidRPr="00F252BC" w:rsidRDefault="00F252BC" w:rsidP="00F252BC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594995</wp:posOffset>
                      </wp:positionV>
                      <wp:extent cx="4943475" cy="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4E68A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46.85pt" to="399.6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" strokecolor="#ed7d31 [3205]" strokeweight=".5pt">
                      <v:stroke joinstyle="miter"/>
                    </v:line>
                  </w:pict>
                </mc:Fallback>
              </mc:AlternateContent>
            </w:r>
            <w:r w:rsidR="00903FAC" w:rsidRPr="00903FAC">
              <w:rPr>
                <w:rFonts w:asciiTheme="minorHAnsi" w:hAnsiTheme="minorHAnsi" w:cs="Arial"/>
                <w:sz w:val="22"/>
                <w:szCs w:val="22"/>
              </w:rPr>
              <w:t>Семинар «Качество управления и управление качеством на предприятиях горнодобывающей промышленности: средства и технологии» (организатор – «ТЕХНОЛИНК»)</w:t>
            </w:r>
          </w:p>
          <w:p w:rsidR="00C5635C" w:rsidRPr="00903FAC" w:rsidRDefault="00C5635C" w:rsidP="00C5635C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MiningWorld Russia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в очередной раз подтвердила статус 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эффектив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ной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бизнес-площадк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и 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для прямого контакта производителей и поставщиков со специалистами горнодобывающих предприятий, горно-обогатительных комбинатов и оптовых торговых компаний из различных регионов России, заинтересованными в закупках машин и оборудования для добычи, обогащения и транспортировки полезных ископаемых.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По итогам прошедшей выставки участники уже </w:t>
            </w:r>
            <w:r w:rsidR="005B3F1D">
              <w:rPr>
                <w:rFonts w:asciiTheme="minorHAnsi" w:hAnsiTheme="minorHAnsi"/>
                <w:bCs/>
                <w:sz w:val="22"/>
                <w:szCs w:val="22"/>
              </w:rPr>
              <w:t xml:space="preserve">забронировали </w:t>
            </w:r>
            <w:r w:rsidR="005B3F1D">
              <w:rPr>
                <w:rFonts w:asciiTheme="minorHAnsi" w:hAnsiTheme="minorHAnsi"/>
                <w:bCs/>
                <w:sz w:val="22"/>
                <w:szCs w:val="22"/>
              </w:rPr>
              <w:br/>
            </w:r>
            <w:r w:rsidRPr="00C5635C">
              <w:rPr>
                <w:rFonts w:asciiTheme="minorHAnsi" w:hAnsiTheme="minorHAnsi"/>
                <w:b/>
                <w:bCs/>
                <w:sz w:val="22"/>
                <w:szCs w:val="22"/>
              </w:rPr>
              <w:t>66% площади выставки 2018 года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. </w:t>
            </w:r>
          </w:p>
          <w:p w:rsidR="00C5635C" w:rsidRDefault="00C5635C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7A3FDB" w:rsidRDefault="007A3FDB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297E74" w:rsidRDefault="00297E74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815EDF" w:rsidRDefault="00815EDF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Организатор выставки – компания ПРИМЭКСПО / </w:t>
            </w:r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 xml:space="preserve">ITE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Санкт-Петербург. Выставка 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MiningWorld Russia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>входит в портфель горнопромышленных выставок Группы компаний ITE</w:t>
            </w:r>
            <w:r w:rsidR="007A3FDB">
              <w:rPr>
                <w:rFonts w:asciiTheme="minorHAnsi" w:hAnsiTheme="minorHAnsi"/>
                <w:bCs/>
                <w:sz w:val="22"/>
                <w:szCs w:val="22"/>
              </w:rPr>
              <w:t>, включающий в себя также выставки</w:t>
            </w:r>
            <w:r w:rsidRPr="00815EDF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MiningWorld</w:t>
            </w:r>
            <w:proofErr w:type="spellEnd"/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>Central</w:t>
            </w:r>
            <w:proofErr w:type="spellEnd"/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>Asia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 xml:space="preserve">Алматы), </w:t>
            </w:r>
            <w:proofErr w:type="spellStart"/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MiningWorld</w:t>
            </w:r>
            <w:proofErr w:type="spellEnd"/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>Uzbekistan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</w:t>
            </w:r>
            <w:r w:rsidRPr="00815EDF">
              <w:rPr>
                <w:rFonts w:asciiTheme="minorHAnsi" w:hAnsiTheme="minorHAnsi"/>
                <w:bCs/>
                <w:sz w:val="22"/>
                <w:szCs w:val="22"/>
              </w:rPr>
              <w:t>Ташкент)</w:t>
            </w:r>
            <w:r w:rsidR="00497846">
              <w:rPr>
                <w:rFonts w:asciiTheme="minorHAnsi" w:hAnsiTheme="minorHAnsi"/>
                <w:bCs/>
                <w:sz w:val="22"/>
                <w:szCs w:val="22"/>
              </w:rPr>
              <w:t xml:space="preserve"> и</w:t>
            </w:r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>MiningWorld</w:t>
            </w:r>
            <w:proofErr w:type="spellEnd"/>
            <w:r w:rsidRPr="00903FA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Ukraine (Киев). </w:t>
            </w:r>
          </w:p>
          <w:p w:rsidR="00FC3B1E" w:rsidRDefault="00FC3B1E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FC3B1E" w:rsidRPr="00815EDF" w:rsidRDefault="00FC3B1E" w:rsidP="009B63E2">
            <w:pPr>
              <w:autoSpaceDE w:val="0"/>
              <w:autoSpaceDN w:val="0"/>
              <w:adjustRightInd w:val="0"/>
              <w:ind w:left="17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C3B1E">
              <w:rPr>
                <w:rFonts w:asciiTheme="minorHAnsi" w:hAnsiTheme="minorHAnsi"/>
                <w:b/>
                <w:bCs/>
                <w:sz w:val="22"/>
                <w:szCs w:val="22"/>
              </w:rPr>
              <w:t>22-я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03FA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Международная выставка </w:t>
            </w:r>
            <w:r w:rsidRPr="00903FAC">
              <w:rPr>
                <w:rFonts w:asciiTheme="minorHAnsi" w:hAnsiTheme="minorHAnsi"/>
                <w:b/>
                <w:sz w:val="22"/>
                <w:szCs w:val="22"/>
              </w:rPr>
              <w:t>машин и оборудования для добычи, обогащения и транспортировки полезных ископаемых</w:t>
            </w:r>
            <w:r w:rsidRPr="00903FAC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MiningWorld Russia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 состоится </w:t>
            </w: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br/>
              <w:t xml:space="preserve">с 17 по 19 апреля 2018 года в Москве, МВЦ «Крокус Экспо». </w:t>
            </w:r>
          </w:p>
        </w:tc>
        <w:tc>
          <w:tcPr>
            <w:tcW w:w="2268" w:type="dxa"/>
            <w:tcBorders>
              <w:top w:val="single" w:sz="12" w:space="0" w:color="ED7D31"/>
            </w:tcBorders>
            <w:shd w:val="clear" w:color="auto" w:fill="auto"/>
          </w:tcPr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EAAAA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EAAAA"/>
                <w:sz w:val="22"/>
                <w:szCs w:val="20"/>
              </w:rPr>
            </w:pPr>
          </w:p>
          <w:p w:rsidR="008B5AC3" w:rsidRDefault="008B5AC3" w:rsidP="00FE6869">
            <w:pPr>
              <w:rPr>
                <w:rFonts w:asciiTheme="minorHAnsi" w:hAnsiTheme="minorHAnsi" w:cs="Tahoma"/>
                <w:color w:val="AEAAAA"/>
                <w:sz w:val="22"/>
                <w:szCs w:val="20"/>
              </w:rPr>
            </w:pPr>
          </w:p>
          <w:p w:rsidR="005B3F1D" w:rsidRDefault="005B3F1D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Default="005B3F1D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Pr="005B3F1D" w:rsidRDefault="005B3F1D" w:rsidP="00FE6869">
            <w:pPr>
              <w:rPr>
                <w:rFonts w:asciiTheme="minorHAnsi" w:hAnsiTheme="minorHAnsi" w:cs="Tahoma"/>
                <w:color w:val="A6A6A6"/>
                <w:sz w:val="8"/>
                <w:szCs w:val="20"/>
              </w:rPr>
            </w:pPr>
          </w:p>
          <w:p w:rsidR="00903FAC" w:rsidRPr="00903FAC" w:rsidRDefault="008B5AC3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>
              <w:rPr>
                <w:rFonts w:asciiTheme="minorHAnsi" w:hAnsiTheme="minorHAnsi" w:cs="Tahoma"/>
                <w:color w:val="A6A6A6"/>
                <w:sz w:val="22"/>
                <w:szCs w:val="20"/>
              </w:rPr>
              <w:t>17 – 19</w:t>
            </w:r>
            <w:r w:rsidR="00903FAC"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 xml:space="preserve"> апреля 201</w:t>
            </w:r>
            <w:r>
              <w:rPr>
                <w:rFonts w:asciiTheme="minorHAnsi" w:hAnsiTheme="minorHAnsi" w:cs="Tahoma"/>
                <w:color w:val="A6A6A6"/>
                <w:sz w:val="22"/>
                <w:szCs w:val="20"/>
              </w:rPr>
              <w:t>8</w:t>
            </w:r>
            <w:r w:rsidR="00903FAC"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 xml:space="preserve"> </w:t>
            </w: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Россия, Москва</w:t>
            </w: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МВЦ «Крокус Экспо»</w:t>
            </w: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282B8A" w:rsidRDefault="001075DB" w:rsidP="00FE6869">
            <w:pPr>
              <w:rPr>
                <w:rFonts w:asciiTheme="minorHAnsi" w:hAnsiTheme="minorHAnsi" w:cs="Tahoma"/>
                <w:b/>
                <w:color w:val="ED7D31"/>
                <w:sz w:val="22"/>
                <w:szCs w:val="20"/>
              </w:rPr>
            </w:pPr>
            <w:hyperlink r:id="rId9" w:history="1">
              <w:r w:rsidR="00903FAC" w:rsidRPr="00282B8A">
                <w:rPr>
                  <w:rFonts w:asciiTheme="minorHAnsi" w:hAnsiTheme="minorHAnsi" w:cs="Tahoma"/>
                  <w:b/>
                  <w:color w:val="ED7D31"/>
                  <w:sz w:val="22"/>
                  <w:szCs w:val="20"/>
                </w:rPr>
                <w:t>miningworld.ru</w:t>
              </w:r>
            </w:hyperlink>
            <w:r w:rsidR="00903FAC" w:rsidRPr="00282B8A">
              <w:rPr>
                <w:rFonts w:asciiTheme="minorHAnsi" w:hAnsiTheme="minorHAnsi" w:cs="Tahoma"/>
                <w:b/>
                <w:color w:val="ED7D31"/>
                <w:sz w:val="22"/>
                <w:szCs w:val="20"/>
              </w:rPr>
              <w:t xml:space="preserve"> </w:t>
            </w: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ind w:left="252"/>
              <w:rPr>
                <w:rFonts w:asciiTheme="minorHAnsi" w:hAnsiTheme="minorHAnsi" w:cs="Tahoma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815EDF" w:rsidRDefault="00815EDF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815EDF" w:rsidRDefault="00815EDF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815EDF" w:rsidRDefault="00815EDF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815EDF" w:rsidRDefault="00815EDF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A3E1F" w:rsidRDefault="009A3E1F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603906" w:rsidRDefault="00603906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603906" w:rsidRDefault="00603906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603906" w:rsidRDefault="00603906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Pr="005B3F1D" w:rsidRDefault="005B3F1D" w:rsidP="00FE6869">
            <w:pPr>
              <w:rPr>
                <w:rFonts w:asciiTheme="minorHAnsi" w:hAnsiTheme="minorHAnsi" w:cs="Tahoma"/>
                <w:color w:val="A6A6A6"/>
                <w:sz w:val="2"/>
                <w:szCs w:val="20"/>
              </w:rPr>
            </w:pPr>
          </w:p>
          <w:p w:rsidR="007A3FDB" w:rsidRDefault="007A3FDB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7A3FDB" w:rsidRDefault="007A3FDB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7A3FDB" w:rsidRDefault="007A3FDB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7A3FDB" w:rsidRDefault="007A3FDB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Организаторы:</w:t>
            </w: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noProof/>
                <w:color w:val="A6A6A6"/>
                <w:sz w:val="22"/>
                <w:szCs w:val="20"/>
              </w:rPr>
              <w:drawing>
                <wp:inline distT="0" distB="0" distL="0" distR="0">
                  <wp:extent cx="990600" cy="304800"/>
                  <wp:effectExtent l="0" t="0" r="0" b="0"/>
                  <wp:docPr id="2" name="Рисунок 2" descr="\\itespb\files\Marketing\Логотипы\Primexpo, ITE\PRIMEXPO_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\\itespb\files\Marketing\Логотипы\Primexpo, ITE\PRIMEXPO_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 xml:space="preserve">  </w:t>
            </w: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(812) 380 6016 / 00</w:t>
            </w:r>
          </w:p>
          <w:p w:rsidR="00903FAC" w:rsidRPr="00903FAC" w:rsidRDefault="00903FAC" w:rsidP="00FE6869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mining</w:t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@</w:t>
            </w:r>
            <w:proofErr w:type="spellStart"/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primexpo</w:t>
            </w:r>
            <w:proofErr w:type="spellEnd"/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.</w:t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ru</w:t>
            </w: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603906" w:rsidRDefault="00603906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252BC" w:rsidRDefault="00F252BC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Default="005B3F1D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Default="005B3F1D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Pr="005B3F1D" w:rsidRDefault="005B3F1D" w:rsidP="00FC3B1E">
            <w:pPr>
              <w:rPr>
                <w:rFonts w:asciiTheme="minorHAnsi" w:hAnsiTheme="minorHAnsi" w:cs="Tahoma"/>
                <w:color w:val="A6A6A6"/>
                <w:sz w:val="6"/>
                <w:szCs w:val="20"/>
              </w:rPr>
            </w:pPr>
          </w:p>
          <w:p w:rsidR="00FC3B1E" w:rsidRPr="00903FAC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Организаторы:</w:t>
            </w:r>
          </w:p>
          <w:p w:rsidR="00FC3B1E" w:rsidRPr="00903FAC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Pr="00903FAC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noProof/>
                <w:color w:val="A6A6A6"/>
                <w:sz w:val="22"/>
                <w:szCs w:val="20"/>
              </w:rPr>
              <w:drawing>
                <wp:inline distT="0" distB="0" distL="0" distR="0" wp14:anchorId="22C609B1" wp14:editId="226E8C7E">
                  <wp:extent cx="990600" cy="304800"/>
                  <wp:effectExtent l="0" t="0" r="0" b="0"/>
                  <wp:docPr id="3" name="Рисунок 3" descr="\\itespb\files\Marketing\Логотипы\Primexpo, ITE\PRIMEXPO_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\\itespb\files\Marketing\Логотипы\Primexpo, ITE\PRIMEXPO_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 xml:space="preserve">  </w:t>
            </w:r>
          </w:p>
          <w:p w:rsidR="00FC3B1E" w:rsidRPr="00903FAC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FC3B1E" w:rsidRPr="00903FAC" w:rsidRDefault="00FC3B1E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(812) 380 6016 / 00</w:t>
            </w:r>
          </w:p>
          <w:p w:rsidR="00FC3B1E" w:rsidRPr="005B3F1D" w:rsidRDefault="005B3F1D" w:rsidP="00FC3B1E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5B3F1D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mining</w:t>
            </w:r>
            <w:r w:rsidRPr="005B3F1D">
              <w:rPr>
                <w:rFonts w:asciiTheme="minorHAnsi" w:hAnsiTheme="minorHAnsi" w:cs="Tahoma"/>
                <w:color w:val="A6A6A6"/>
                <w:sz w:val="22"/>
                <w:szCs w:val="20"/>
              </w:rPr>
              <w:t>@</w:t>
            </w:r>
            <w:proofErr w:type="spellStart"/>
            <w:r w:rsidRPr="005B3F1D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primexpo</w:t>
            </w:r>
            <w:proofErr w:type="spellEnd"/>
            <w:r w:rsidRPr="005B3F1D">
              <w:rPr>
                <w:rFonts w:asciiTheme="minorHAnsi" w:hAnsiTheme="minorHAnsi" w:cs="Tahoma"/>
                <w:color w:val="A6A6A6"/>
                <w:sz w:val="22"/>
                <w:szCs w:val="20"/>
              </w:rPr>
              <w:t>.</w:t>
            </w:r>
            <w:r w:rsidRPr="005B3F1D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ru</w:t>
            </w:r>
            <w:r>
              <w:rPr>
                <w:rFonts w:asciiTheme="minorHAnsi" w:hAnsiTheme="minorHAnsi" w:cs="Tahoma"/>
                <w:color w:val="A6A6A6"/>
                <w:sz w:val="22"/>
                <w:szCs w:val="20"/>
              </w:rPr>
              <w:t xml:space="preserve"> </w:t>
            </w:r>
          </w:p>
          <w:p w:rsidR="00903FAC" w:rsidRDefault="00903FAC" w:rsidP="00FE6869">
            <w:pPr>
              <w:rPr>
                <w:rFonts w:asciiTheme="minorHAnsi" w:hAnsiTheme="minorHAnsi" w:cs="Tahoma"/>
                <w:sz w:val="22"/>
                <w:szCs w:val="20"/>
              </w:rPr>
            </w:pPr>
          </w:p>
          <w:p w:rsidR="005B3F1D" w:rsidRDefault="005B3F1D" w:rsidP="00FE6869">
            <w:pPr>
              <w:rPr>
                <w:rFonts w:asciiTheme="minorHAnsi" w:hAnsiTheme="minorHAnsi" w:cs="Tahoma"/>
                <w:sz w:val="22"/>
                <w:szCs w:val="20"/>
              </w:rPr>
            </w:pPr>
          </w:p>
          <w:p w:rsidR="005B3F1D" w:rsidRDefault="005B3F1D" w:rsidP="00FE6869">
            <w:pPr>
              <w:rPr>
                <w:rFonts w:asciiTheme="minorHAnsi" w:hAnsiTheme="minorHAnsi" w:cs="Tahoma"/>
                <w:sz w:val="22"/>
                <w:szCs w:val="20"/>
              </w:rPr>
            </w:pPr>
          </w:p>
          <w:p w:rsidR="005B3F1D" w:rsidRPr="005B3F1D" w:rsidRDefault="005B3F1D" w:rsidP="005B3F1D">
            <w:pPr>
              <w:rPr>
                <w:rFonts w:asciiTheme="minorHAnsi" w:hAnsiTheme="minorHAnsi" w:cs="Tahoma"/>
                <w:color w:val="A6A6A6"/>
                <w:sz w:val="6"/>
                <w:szCs w:val="20"/>
              </w:rPr>
            </w:pPr>
          </w:p>
          <w:p w:rsidR="00297E74" w:rsidRDefault="00297E74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Pr="00903FAC" w:rsidRDefault="005B3F1D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Организаторы:</w:t>
            </w:r>
          </w:p>
          <w:p w:rsidR="005B3F1D" w:rsidRPr="00903FAC" w:rsidRDefault="005B3F1D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Pr="00903FAC" w:rsidRDefault="005B3F1D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noProof/>
                <w:color w:val="A6A6A6"/>
                <w:sz w:val="22"/>
                <w:szCs w:val="20"/>
              </w:rPr>
              <w:drawing>
                <wp:inline distT="0" distB="0" distL="0" distR="0" wp14:anchorId="1E358EF1" wp14:editId="07B9659B">
                  <wp:extent cx="990600" cy="304800"/>
                  <wp:effectExtent l="0" t="0" r="0" b="0"/>
                  <wp:docPr id="4" name="Рисунок 4" descr="\\itespb\files\Marketing\Логотипы\Primexpo, ITE\PRIMEXPO_ITE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\\itespb\files\Marketing\Логотипы\Primexpo, ITE\PRIMEXPO_ITE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 xml:space="preserve">  </w:t>
            </w:r>
          </w:p>
          <w:p w:rsidR="005B3F1D" w:rsidRPr="00903FAC" w:rsidRDefault="005B3F1D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</w:p>
          <w:p w:rsidR="005B3F1D" w:rsidRPr="00903FAC" w:rsidRDefault="005B3F1D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(812) 380 6016 / 00</w:t>
            </w:r>
          </w:p>
          <w:p w:rsidR="005B3F1D" w:rsidRPr="00903FAC" w:rsidRDefault="005B3F1D" w:rsidP="005B3F1D">
            <w:pPr>
              <w:rPr>
                <w:rFonts w:asciiTheme="minorHAnsi" w:hAnsiTheme="minorHAnsi" w:cs="Tahoma"/>
                <w:color w:val="A6A6A6"/>
                <w:sz w:val="22"/>
                <w:szCs w:val="20"/>
              </w:rPr>
            </w:pP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mining</w:t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@</w:t>
            </w:r>
            <w:proofErr w:type="spellStart"/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primexpo</w:t>
            </w:r>
            <w:proofErr w:type="spellEnd"/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</w:rPr>
              <w:t>.</w:t>
            </w:r>
            <w:r w:rsidRPr="00903FAC">
              <w:rPr>
                <w:rFonts w:asciiTheme="minorHAnsi" w:hAnsiTheme="minorHAnsi" w:cs="Tahoma"/>
                <w:color w:val="A6A6A6"/>
                <w:sz w:val="22"/>
                <w:szCs w:val="20"/>
                <w:lang w:val="en-US"/>
              </w:rPr>
              <w:t>ru</w:t>
            </w:r>
          </w:p>
          <w:p w:rsidR="005B3F1D" w:rsidRPr="00903FAC" w:rsidRDefault="005B3F1D" w:rsidP="00FE6869">
            <w:pPr>
              <w:rPr>
                <w:rFonts w:asciiTheme="minorHAnsi" w:hAnsiTheme="minorHAnsi" w:cs="Tahoma"/>
                <w:sz w:val="22"/>
                <w:szCs w:val="20"/>
              </w:rPr>
            </w:pPr>
          </w:p>
        </w:tc>
      </w:tr>
    </w:tbl>
    <w:p w:rsidR="00BE11CA" w:rsidRPr="00903FAC" w:rsidRDefault="00BE11CA" w:rsidP="00F252BC">
      <w:pPr>
        <w:rPr>
          <w:rFonts w:asciiTheme="minorHAnsi" w:hAnsiTheme="minorHAnsi"/>
          <w:lang w:val="de-DE"/>
        </w:rPr>
      </w:pPr>
    </w:p>
    <w:sectPr w:rsidR="00BE11CA" w:rsidRPr="00903FAC" w:rsidSect="00297E74">
      <w:pgSz w:w="11906" w:h="16838"/>
      <w:pgMar w:top="709" w:right="851" w:bottom="709" w:left="709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37B4D"/>
    <w:multiLevelType w:val="multilevel"/>
    <w:tmpl w:val="0114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420DB"/>
    <w:multiLevelType w:val="multilevel"/>
    <w:tmpl w:val="6BB6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11333C"/>
    <w:multiLevelType w:val="hybridMultilevel"/>
    <w:tmpl w:val="5FBE59D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3"/>
    <w:rsid w:val="001075DB"/>
    <w:rsid w:val="00125537"/>
    <w:rsid w:val="001361A4"/>
    <w:rsid w:val="001B5470"/>
    <w:rsid w:val="001D3025"/>
    <w:rsid w:val="001F6D04"/>
    <w:rsid w:val="00282B8A"/>
    <w:rsid w:val="00297E74"/>
    <w:rsid w:val="002C532D"/>
    <w:rsid w:val="00303418"/>
    <w:rsid w:val="004554EF"/>
    <w:rsid w:val="00497846"/>
    <w:rsid w:val="005B3F1D"/>
    <w:rsid w:val="00603906"/>
    <w:rsid w:val="0073151C"/>
    <w:rsid w:val="007A3943"/>
    <w:rsid w:val="007A3FDB"/>
    <w:rsid w:val="00815EDF"/>
    <w:rsid w:val="00820C22"/>
    <w:rsid w:val="008516BE"/>
    <w:rsid w:val="008534D4"/>
    <w:rsid w:val="008B5AC3"/>
    <w:rsid w:val="00903FAC"/>
    <w:rsid w:val="009A3E1F"/>
    <w:rsid w:val="009B63E2"/>
    <w:rsid w:val="00A25C75"/>
    <w:rsid w:val="00BE11CA"/>
    <w:rsid w:val="00BE7CF1"/>
    <w:rsid w:val="00C03199"/>
    <w:rsid w:val="00C5635C"/>
    <w:rsid w:val="00D329D3"/>
    <w:rsid w:val="00D709A0"/>
    <w:rsid w:val="00D8588D"/>
    <w:rsid w:val="00DB1668"/>
    <w:rsid w:val="00EA0456"/>
    <w:rsid w:val="00EB320E"/>
    <w:rsid w:val="00EC2469"/>
    <w:rsid w:val="00EE04E0"/>
    <w:rsid w:val="00F252BC"/>
    <w:rsid w:val="00F91D13"/>
    <w:rsid w:val="00FC3B1E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F9BC7-FC8C-4C18-A741-3E35E312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FAC"/>
    <w:rPr>
      <w:rFonts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903F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03FAC"/>
  </w:style>
  <w:style w:type="paragraph" w:customStyle="1" w:styleId="a5">
    <w:name w:val="Знак Знак"/>
    <w:basedOn w:val="a"/>
    <w:rsid w:val="00282B8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0">
    <w:name w:val="A0"/>
    <w:uiPriority w:val="99"/>
    <w:rsid w:val="00282B8A"/>
    <w:rPr>
      <w:rFonts w:ascii="Myriad Pro" w:hAnsi="Myriad Pro" w:cs="Myriad Pro" w:hint="default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034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34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B3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miningworld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Bondar</dc:creator>
  <cp:keywords/>
  <dc:description/>
  <cp:lastModifiedBy>Stefania Grosheva</cp:lastModifiedBy>
  <cp:revision>28</cp:revision>
  <cp:lastPrinted>2017-05-23T12:20:00Z</cp:lastPrinted>
  <dcterms:created xsi:type="dcterms:W3CDTF">2017-04-12T14:40:00Z</dcterms:created>
  <dcterms:modified xsi:type="dcterms:W3CDTF">2017-05-24T10:19:00Z</dcterms:modified>
</cp:coreProperties>
</file>