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79" w:rsidRPr="003A5B79" w:rsidRDefault="003A5B79" w:rsidP="003A5B79">
      <w:pPr>
        <w:spacing w:after="240"/>
        <w:ind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A5B79">
        <w:rPr>
          <w:rFonts w:ascii="Times New Roman" w:hAnsi="Times New Roman"/>
          <w:b/>
          <w:color w:val="000000"/>
          <w:sz w:val="24"/>
          <w:szCs w:val="24"/>
        </w:rPr>
        <w:t>«Балтийский лизинг» перевыполнил план первого квартала 2021 года на 28%</w:t>
      </w:r>
    </w:p>
    <w:p w:rsidR="003A5B79" w:rsidRPr="003A5B79" w:rsidRDefault="00D0751B" w:rsidP="003A5B79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A5B79">
        <w:rPr>
          <w:rFonts w:ascii="Times New Roman" w:hAnsi="Times New Roman"/>
          <w:b/>
          <w:sz w:val="24"/>
          <w:szCs w:val="24"/>
        </w:rPr>
        <w:t>С</w:t>
      </w:r>
      <w:r w:rsidR="00763043" w:rsidRPr="003A5B79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A5B79" w:rsidRPr="003A5B79">
        <w:rPr>
          <w:rFonts w:ascii="Times New Roman" w:hAnsi="Times New Roman"/>
          <w:b/>
          <w:sz w:val="24"/>
          <w:szCs w:val="24"/>
        </w:rPr>
        <w:t>8</w:t>
      </w:r>
      <w:r w:rsidR="005E6D26" w:rsidRPr="003A5B79">
        <w:rPr>
          <w:rFonts w:ascii="Times New Roman" w:hAnsi="Times New Roman"/>
          <w:b/>
          <w:sz w:val="24"/>
          <w:szCs w:val="24"/>
        </w:rPr>
        <w:t xml:space="preserve"> апреля</w:t>
      </w:r>
      <w:r w:rsidR="000F62C2" w:rsidRPr="003A5B79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3A5B79">
        <w:rPr>
          <w:rFonts w:ascii="Times New Roman" w:hAnsi="Times New Roman"/>
          <w:b/>
          <w:sz w:val="24"/>
          <w:szCs w:val="24"/>
        </w:rPr>
        <w:t>2021</w:t>
      </w:r>
      <w:r w:rsidR="00763043" w:rsidRPr="003A5B79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3A5B79">
        <w:rPr>
          <w:rFonts w:ascii="Times New Roman" w:hAnsi="Times New Roman"/>
          <w:b/>
          <w:sz w:val="24"/>
          <w:szCs w:val="24"/>
        </w:rPr>
        <w:t>.</w:t>
      </w:r>
      <w:r w:rsidR="00A701F0" w:rsidRPr="003A5B79">
        <w:rPr>
          <w:rFonts w:ascii="Times New Roman" w:hAnsi="Times New Roman"/>
          <w:sz w:val="24"/>
          <w:szCs w:val="24"/>
        </w:rPr>
        <w:t xml:space="preserve"> </w:t>
      </w:r>
      <w:r w:rsidR="003A5B79" w:rsidRPr="003A5B79">
        <w:rPr>
          <w:rFonts w:ascii="Times New Roman" w:hAnsi="Times New Roman"/>
          <w:color w:val="000000"/>
          <w:sz w:val="24"/>
          <w:szCs w:val="24"/>
        </w:rPr>
        <w:t>«Балтийский лизинг» подвел итоги первого квартала 2021 года: компания достигла всех целевых показателей и перевыполнила план по объему нового бизнеса  на 28%. По итогам отчетного периода в лизинг передано имущества на сумму</w:t>
      </w:r>
      <w:r w:rsidR="003A5B79" w:rsidRPr="003A5B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A5B79" w:rsidRPr="003A5B79">
        <w:rPr>
          <w:rFonts w:ascii="Times New Roman" w:hAnsi="Times New Roman"/>
          <w:color w:val="000000"/>
          <w:sz w:val="24"/>
          <w:szCs w:val="24"/>
        </w:rPr>
        <w:t xml:space="preserve">22,7 </w:t>
      </w:r>
      <w:proofErr w:type="spellStart"/>
      <w:proofErr w:type="gramStart"/>
      <w:r w:rsidR="003A5B79" w:rsidRPr="003A5B79">
        <w:rPr>
          <w:rFonts w:ascii="Times New Roman" w:hAnsi="Times New Roman"/>
          <w:color w:val="000000"/>
          <w:sz w:val="24"/>
          <w:szCs w:val="24"/>
        </w:rPr>
        <w:t>млрд</w:t>
      </w:r>
      <w:proofErr w:type="spellEnd"/>
      <w:proofErr w:type="gramEnd"/>
      <w:r w:rsidR="003A5B79" w:rsidRPr="003A5B79">
        <w:rPr>
          <w:rFonts w:ascii="Times New Roman" w:hAnsi="Times New Roman"/>
          <w:color w:val="000000"/>
          <w:sz w:val="24"/>
          <w:szCs w:val="24"/>
        </w:rPr>
        <w:t xml:space="preserve"> рублей. Тем самым прирост к </w:t>
      </w:r>
      <w:r w:rsidR="003A5B79" w:rsidRPr="003A5B79">
        <w:rPr>
          <w:rFonts w:ascii="Times New Roman" w:hAnsi="Times New Roman"/>
          <w:sz w:val="24"/>
          <w:szCs w:val="24"/>
        </w:rPr>
        <w:t>аналогичному показателю прошлого года составил 42%.</w:t>
      </w:r>
    </w:p>
    <w:p w:rsidR="003A5B79" w:rsidRPr="003A5B79" w:rsidRDefault="003A5B79" w:rsidP="003A5B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A5B79">
        <w:rPr>
          <w:rFonts w:ascii="Times New Roman" w:hAnsi="Times New Roman"/>
          <w:sz w:val="24"/>
          <w:szCs w:val="24"/>
        </w:rPr>
        <w:t xml:space="preserve">«Первый </w:t>
      </w:r>
      <w:proofErr w:type="spellStart"/>
      <w:r w:rsidRPr="003A5B79">
        <w:rPr>
          <w:rFonts w:ascii="Times New Roman" w:hAnsi="Times New Roman"/>
          <w:sz w:val="24"/>
          <w:szCs w:val="24"/>
        </w:rPr>
        <w:t>посткризисный</w:t>
      </w:r>
      <w:proofErr w:type="spellEnd"/>
      <w:r w:rsidRPr="003A5B79">
        <w:rPr>
          <w:rFonts w:ascii="Times New Roman" w:hAnsi="Times New Roman"/>
          <w:sz w:val="24"/>
          <w:szCs w:val="24"/>
        </w:rPr>
        <w:t xml:space="preserve"> квартал оказался для нас очень удачным. Пока мы идем в хорошем темпе со значительным перевыполнением плана.  На результат оказали влияние не только стабильный спрос, но и усилия всей нашей команды. Модернизируется продуктовый ряд, запускаются новые сервисы и услуги, что делает продуктовую линейку все более привлекательной. Многое сделано и делается для упрощения и ускорения всех процессов в компании, в том числе в сфере автоматизации ключевых функций. Активизируется </w:t>
      </w:r>
      <w:proofErr w:type="spellStart"/>
      <w:proofErr w:type="gramStart"/>
      <w:r w:rsidRPr="003A5B79">
        <w:rPr>
          <w:rFonts w:ascii="Times New Roman" w:hAnsi="Times New Roman"/>
          <w:sz w:val="24"/>
          <w:szCs w:val="24"/>
        </w:rPr>
        <w:t>кросс-продуктовое</w:t>
      </w:r>
      <w:proofErr w:type="spellEnd"/>
      <w:proofErr w:type="gramEnd"/>
      <w:r w:rsidRPr="003A5B79">
        <w:rPr>
          <w:rFonts w:ascii="Times New Roman" w:hAnsi="Times New Roman"/>
          <w:sz w:val="24"/>
          <w:szCs w:val="24"/>
        </w:rPr>
        <w:t xml:space="preserve"> взаимодействие внутри группы ПАО Банк «ФК Открытие». Вот главные составляющие успеха первого квартала. Не менее важными являются и следующие факторы: поддержание лояльности клиентов, выстраивание более тесных взаимоотношений с поставщиками оборудования и техники по всей стране. Благодаря специальным обучающим программам нашего корпоративного университета растет профессионализм сотрудников на всех уровнях», - отметил генеральный директор «Балтийского лизинга» </w:t>
      </w:r>
      <w:r w:rsidRPr="003A5B79">
        <w:rPr>
          <w:rFonts w:ascii="Times New Roman" w:hAnsi="Times New Roman"/>
          <w:b/>
          <w:sz w:val="24"/>
          <w:szCs w:val="24"/>
        </w:rPr>
        <w:t xml:space="preserve">Дмитрий </w:t>
      </w:r>
      <w:proofErr w:type="spellStart"/>
      <w:r w:rsidRPr="003A5B79">
        <w:rPr>
          <w:rFonts w:ascii="Times New Roman" w:hAnsi="Times New Roman"/>
          <w:b/>
          <w:sz w:val="24"/>
          <w:szCs w:val="24"/>
        </w:rPr>
        <w:t>Корчагов</w:t>
      </w:r>
      <w:proofErr w:type="spellEnd"/>
      <w:r w:rsidRPr="003A5B79">
        <w:rPr>
          <w:rFonts w:ascii="Times New Roman" w:hAnsi="Times New Roman"/>
          <w:sz w:val="24"/>
          <w:szCs w:val="24"/>
        </w:rPr>
        <w:t>.</w:t>
      </w:r>
    </w:p>
    <w:p w:rsidR="003A5B79" w:rsidRPr="003A5B79" w:rsidRDefault="003A5B79" w:rsidP="003A5B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A5B79">
        <w:rPr>
          <w:rFonts w:ascii="Times New Roman" w:hAnsi="Times New Roman"/>
          <w:sz w:val="24"/>
          <w:szCs w:val="24"/>
        </w:rPr>
        <w:t>Большую долю в объеме нового бизнеса компании по итогам квартала занимает сегмент автотранспорта – 62%, на втором месте – сегмент строительной и дорожно-строительной техники (20%), на третьем оборудование для различных отраслей, в том числе для машиностроения, деревообработки и металлообработки (17,5%). Клиентским приоритетом для нас остается сегмент малого и среднего бизнеса.</w:t>
      </w:r>
    </w:p>
    <w:p w:rsidR="003A5B79" w:rsidRPr="003A5B79" w:rsidRDefault="003A5B79" w:rsidP="003A5B7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A5B79">
        <w:rPr>
          <w:rFonts w:ascii="Times New Roman" w:hAnsi="Times New Roman"/>
          <w:sz w:val="24"/>
          <w:szCs w:val="24"/>
        </w:rPr>
        <w:t xml:space="preserve">Следует отметить, что рекордный рост зафиксирован в одном из ключевых для компании сегментов – в </w:t>
      </w:r>
      <w:proofErr w:type="spellStart"/>
      <w:r w:rsidRPr="003A5B79">
        <w:rPr>
          <w:rFonts w:ascii="Times New Roman" w:hAnsi="Times New Roman"/>
          <w:sz w:val="24"/>
          <w:szCs w:val="24"/>
        </w:rPr>
        <w:t>автолизинге</w:t>
      </w:r>
      <w:proofErr w:type="spellEnd"/>
      <w:r w:rsidRPr="003A5B79">
        <w:rPr>
          <w:rFonts w:ascii="Times New Roman" w:hAnsi="Times New Roman"/>
          <w:sz w:val="24"/>
          <w:szCs w:val="24"/>
        </w:rPr>
        <w:t xml:space="preserve">. Общий объем нового бизнеса по сделкам, предметом которых в первом квартале становился легковой и коммерческий транспорт, достиг почти 8 </w:t>
      </w:r>
      <w:proofErr w:type="spellStart"/>
      <w:proofErr w:type="gramStart"/>
      <w:r w:rsidRPr="003A5B79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3A5B79">
        <w:rPr>
          <w:rFonts w:ascii="Times New Roman" w:hAnsi="Times New Roman"/>
          <w:sz w:val="24"/>
          <w:szCs w:val="24"/>
        </w:rPr>
        <w:t xml:space="preserve">  рублей, что на 40% больше установленного планового показателя и на 33,6% больше аналогичного показателя прошлого года.</w:t>
      </w:r>
    </w:p>
    <w:p w:rsidR="001237E2" w:rsidRDefault="00BC47D2" w:rsidP="009F452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FB3635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4995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40B6"/>
    <w:rsid w:val="006B626E"/>
    <w:rsid w:val="006B7C99"/>
    <w:rsid w:val="006C1973"/>
    <w:rsid w:val="006C358C"/>
    <w:rsid w:val="006C5BA7"/>
    <w:rsid w:val="006C61EF"/>
    <w:rsid w:val="006D01DA"/>
    <w:rsid w:val="006D0F2C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32518"/>
    <w:rsid w:val="00933240"/>
    <w:rsid w:val="009364A9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10B70"/>
    <w:rsid w:val="00A1655F"/>
    <w:rsid w:val="00A2044B"/>
    <w:rsid w:val="00A20645"/>
    <w:rsid w:val="00A20872"/>
    <w:rsid w:val="00A21415"/>
    <w:rsid w:val="00A21B73"/>
    <w:rsid w:val="00A33D58"/>
    <w:rsid w:val="00A376A1"/>
    <w:rsid w:val="00A40398"/>
    <w:rsid w:val="00A419F8"/>
    <w:rsid w:val="00A42105"/>
    <w:rsid w:val="00A45380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3D39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2CAE"/>
    <w:rsid w:val="00FA7E00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54FDC-6D77-413B-903A-CC1D6F64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551</cp:revision>
  <dcterms:created xsi:type="dcterms:W3CDTF">2018-07-26T07:30:00Z</dcterms:created>
  <dcterms:modified xsi:type="dcterms:W3CDTF">2021-04-08T12:08:00Z</dcterms:modified>
</cp:coreProperties>
</file>