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41E6" w14:textId="77777777" w:rsidR="00357171" w:rsidRDefault="00D41473">
      <w:pPr>
        <w:jc w:val="center"/>
      </w:pPr>
      <w:r>
        <w:rPr>
          <w:noProof/>
        </w:rPr>
        <w:drawing>
          <wp:inline distT="114300" distB="114300" distL="114300" distR="114300" wp14:anchorId="4535F9ED" wp14:editId="42C1D8B5">
            <wp:extent cx="1682587" cy="4336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587" cy="43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A0372" w14:textId="77777777" w:rsidR="00357171" w:rsidRDefault="00357171">
      <w:pPr>
        <w:jc w:val="center"/>
      </w:pPr>
    </w:p>
    <w:p w14:paraId="46132606" w14:textId="77777777" w:rsidR="00357171" w:rsidRDefault="00357171">
      <w:pPr>
        <w:jc w:val="center"/>
      </w:pPr>
    </w:p>
    <w:p w14:paraId="7A80D48C" w14:textId="77777777" w:rsidR="00357171" w:rsidRDefault="00357171">
      <w:pPr>
        <w:jc w:val="both"/>
        <w:rPr>
          <w:b/>
          <w:sz w:val="14"/>
          <w:szCs w:val="14"/>
        </w:rPr>
      </w:pPr>
    </w:p>
    <w:p w14:paraId="3B66F8D8" w14:textId="77777777" w:rsidR="00357171" w:rsidRDefault="00D41473">
      <w:pPr>
        <w:spacing w:after="120"/>
        <w:jc w:val="center"/>
        <w:rPr>
          <w:i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Авито</w:t>
      </w:r>
      <w:proofErr w:type="spellEnd"/>
      <w:r>
        <w:rPr>
          <w:b/>
          <w:sz w:val="24"/>
          <w:szCs w:val="24"/>
        </w:rPr>
        <w:t xml:space="preserve"> Недвижимость»: с июня спрос на вторичное жилье в Воронеже вырос на 10%</w:t>
      </w:r>
    </w:p>
    <w:p w14:paraId="78654537" w14:textId="77777777" w:rsidR="00357171" w:rsidRDefault="00D41473">
      <w:pPr>
        <w:spacing w:after="120"/>
        <w:jc w:val="both"/>
        <w:rPr>
          <w:i/>
        </w:rPr>
      </w:pPr>
      <w:bookmarkStart w:id="0" w:name="_34enhm63zik2" w:colFirst="0" w:colLast="0"/>
      <w:bookmarkEnd w:id="0"/>
      <w:r>
        <w:rPr>
          <w:i/>
        </w:rPr>
        <w:t>Интерес к приобретению квартир на вторичном рынке с июня 2024 года увеличился и в других городах России. Самый большой спрос наблюдается в Туле, Новосибирске, Кемерове и Ижевске.</w:t>
      </w:r>
    </w:p>
    <w:p w14:paraId="601D4B82" w14:textId="77777777" w:rsidR="00357171" w:rsidRDefault="00D41473">
      <w:pPr>
        <w:spacing w:after="120"/>
        <w:jc w:val="both"/>
      </w:pPr>
      <w:r>
        <w:t>В «</w:t>
      </w:r>
      <w:proofErr w:type="spellStart"/>
      <w:r>
        <w:t>Авито</w:t>
      </w:r>
      <w:proofErr w:type="spellEnd"/>
      <w:r>
        <w:t xml:space="preserve"> Недвижимости» подвели итоги октября 2024 года на рынке вторичной недвижимости России. </w:t>
      </w:r>
      <w:r>
        <w:rPr>
          <w:b/>
        </w:rPr>
        <w:t>Спрос</w:t>
      </w:r>
      <w:r>
        <w:t xml:space="preserve"> на готовое жилье на платформе по сравнению с июнем текущего года в среднем по стране вырос на 10%. Сильнее всего интерес увеличился к компактным форматам жилья: студиям и однокомнатным квартирам (+16% у обоих). По сравнению с сентябрем текущего года активность потенциальных покупателей на вторичном рынке увеличилась на 3%. Информация по разным видам </w:t>
      </w:r>
      <w:proofErr w:type="spellStart"/>
      <w:r>
        <w:t>комнатности</w:t>
      </w:r>
      <w:proofErr w:type="spellEnd"/>
      <w:r>
        <w:t xml:space="preserve"> представлена в таблице 1.</w:t>
      </w:r>
    </w:p>
    <w:p w14:paraId="5EE6B63B" w14:textId="77777777" w:rsidR="00357171" w:rsidRDefault="00D41473">
      <w:pPr>
        <w:spacing w:after="120"/>
        <w:jc w:val="both"/>
      </w:pPr>
      <w:r>
        <w:rPr>
          <w:b/>
        </w:rPr>
        <w:t>Предложение</w:t>
      </w:r>
      <w:r>
        <w:t xml:space="preserve"> на рынке вторичной недвижимости по сравнению с июнем и сентябрем в среднем по России не изменилось. Подробнее по различным форматам — в таблице 1. При этом с января 2024 года количество доступных для покупки готовых квартир на платформе выросло на 23%. </w:t>
      </w:r>
    </w:p>
    <w:p w14:paraId="53E9E6E0" w14:textId="77777777" w:rsidR="00357171" w:rsidRDefault="00D41473">
      <w:pPr>
        <w:spacing w:after="120"/>
        <w:jc w:val="both"/>
      </w:pPr>
      <w:r>
        <w:t xml:space="preserve">Средние </w:t>
      </w:r>
      <w:r>
        <w:rPr>
          <w:b/>
        </w:rPr>
        <w:t>цены</w:t>
      </w:r>
      <w:r>
        <w:t xml:space="preserve"> на вторичном рынке России по сравнению с июнем 2024 года снизились на 1%. Трехкомнатные квартиры подешевели на 5%, двухкомнатные — на 2%. К сентябрю текущего года средняя стоимость жилья также снизилась на 1%.  Информация о динамике по разным форматам представлена в таблице 1. </w:t>
      </w:r>
    </w:p>
    <w:p w14:paraId="4F4AF95D" w14:textId="77777777" w:rsidR="00357171" w:rsidRDefault="00D41473">
      <w:pPr>
        <w:spacing w:after="120"/>
        <w:jc w:val="both"/>
      </w:pPr>
      <w:bookmarkStart w:id="1" w:name="_3znysh7" w:colFirst="0" w:colLast="0"/>
      <w:bookmarkEnd w:id="1"/>
      <w:r>
        <w:rPr>
          <w:b/>
        </w:rPr>
        <w:t xml:space="preserve">Региональные данные. </w:t>
      </w:r>
      <w:r>
        <w:t xml:space="preserve">Спрос на вторичное жилье по сравнению с июнем 2024 года вырос в 31 из 39 городов. Самая заметная динамика — в Туле (+49%), Новосибирске (+24%), Симферополе (+23%), Кемерове (+21%) и Ижевске (+19%). Отдельно в </w:t>
      </w:r>
      <w:r>
        <w:rPr>
          <w:b/>
        </w:rPr>
        <w:t xml:space="preserve">Воронеже </w:t>
      </w:r>
      <w:r>
        <w:t>спрос вырос на 10%. К сентябрю спрос вырос в 33 из 39 городов исследования. Подробнее — в таблице 2.</w:t>
      </w:r>
    </w:p>
    <w:p w14:paraId="0A4D4466" w14:textId="77777777" w:rsidR="00357171" w:rsidRDefault="00D41473">
      <w:pPr>
        <w:spacing w:after="120"/>
        <w:jc w:val="both"/>
      </w:pPr>
      <w:r>
        <w:rPr>
          <w:i/>
        </w:rPr>
        <w:t>«Динамика активности пользователей в последние месяцы говорит о формировании отложенного спроса. Для многих потенциальных покупателей жилья сдерживающим фактором выступают текущие рыночные ставки по ипотеке при одновременно высоких процентах по банковским вкладам. Сейчас такие покупатели изучают рынок и присматривают варианты, чтобы выйти на сделку позднее. Дополнительно увеличение интереса к “</w:t>
      </w:r>
      <w:proofErr w:type="spellStart"/>
      <w:r>
        <w:rPr>
          <w:i/>
        </w:rPr>
        <w:t>вторичке</w:t>
      </w:r>
      <w:proofErr w:type="spellEnd"/>
      <w:r>
        <w:rPr>
          <w:i/>
        </w:rPr>
        <w:t xml:space="preserve">” обусловлено перетоком части спроса с первичного на вторичный рынок, где стоимость квадратного метра зачастую ниже. Однако это в меньшей степени влияет на общую динамику спроса, поскольку после отмены массовой льготной программы ставки на обоих рынках сопоставимы. Если рассматривать сделки с готовым жильем, то мы отмечаем снижение доли ипотеки: все больше квартир приобретают за собственные средства», </w:t>
      </w:r>
      <w:r>
        <w:rPr>
          <w:b/>
          <w:i/>
        </w:rPr>
        <w:t xml:space="preserve">— прокомментировал Сергей </w:t>
      </w:r>
      <w:proofErr w:type="spellStart"/>
      <w:r>
        <w:rPr>
          <w:b/>
          <w:i/>
        </w:rPr>
        <w:t>Ерёмкин</w:t>
      </w:r>
      <w:proofErr w:type="spellEnd"/>
      <w:r>
        <w:rPr>
          <w:b/>
          <w:i/>
        </w:rPr>
        <w:t>, управляющий директор направления вторичной и загородной недвижимости «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Недвижимости».</w:t>
      </w:r>
    </w:p>
    <w:p w14:paraId="5145A7D7" w14:textId="77777777" w:rsidR="00357171" w:rsidRDefault="00D41473">
      <w:pPr>
        <w:spacing w:after="120"/>
        <w:jc w:val="both"/>
        <w:rPr>
          <w:b/>
          <w:i/>
        </w:rPr>
      </w:pPr>
      <w:r>
        <w:lastRenderedPageBreak/>
        <w:t xml:space="preserve">Предложение по сравнению с июнем 2024 года выросло в 14 из 39 городов исследования. Сильнее всего количество объектов на платформе увеличилось в Улан-Удэ (+12%), Симферополе (+11%), Омске (+10%), Смоленске (+9%), Севастополе, Красноярске и Ульяновске (+6% в каждом). В </w:t>
      </w:r>
      <w:r>
        <w:rPr>
          <w:b/>
        </w:rPr>
        <w:t xml:space="preserve">Воронеже </w:t>
      </w:r>
      <w:r>
        <w:t>наблюдается незначительное снижение предложения на 2%. За месяц предложение выросло в 13 из 39 городов исследования.</w:t>
      </w:r>
    </w:p>
    <w:p w14:paraId="7844B214" w14:textId="77777777" w:rsidR="00357171" w:rsidRDefault="00D41473">
      <w:pPr>
        <w:spacing w:after="120"/>
        <w:jc w:val="both"/>
      </w:pPr>
      <w:r>
        <w:t xml:space="preserve">По сравнению с июнем 2024 года цены на вторичное жилье снизились в Москве (-2%), Севастополе и Кемерове (-1% в обоих). Самое доступное жилье на вторичном рынке в октябре 2024 года можно было приобрести в Смоленске (4 млн рублей), Ижевске (4,2 млн рублей), Ульяновске и Астрахани (по 4,3 млн рублей), а также в Липецке (4,4 млн рублей). Наиболее высокие цены зафиксированы в Москве (31,1 млн рублей), Сочи (14,8 млн рублей) и Санкт-Петербурге (12,2 млн рублей). Отдельно в </w:t>
      </w:r>
      <w:r>
        <w:rPr>
          <w:b/>
        </w:rPr>
        <w:t xml:space="preserve">Воронеже </w:t>
      </w:r>
      <w:r>
        <w:t>стоимость квартиры составила 5,5 млн рублей. Информация по другим городам представлена в таблице 1, а сравнение средних цен со стоимостью однокомнатных квартир — на графике.</w:t>
      </w:r>
    </w:p>
    <w:p w14:paraId="7E709456" w14:textId="77777777" w:rsidR="00357171" w:rsidRDefault="00357171">
      <w:pPr>
        <w:spacing w:after="120"/>
        <w:jc w:val="both"/>
      </w:pPr>
    </w:p>
    <w:p w14:paraId="3FF796D0" w14:textId="77777777" w:rsidR="00357171" w:rsidRDefault="00D41473">
      <w:pPr>
        <w:spacing w:after="120"/>
        <w:jc w:val="both"/>
      </w:pPr>
      <w:r>
        <w:rPr>
          <w:noProof/>
        </w:rPr>
        <w:drawing>
          <wp:inline distT="114300" distB="114300" distL="114300" distR="114300" wp14:anchorId="21A368E7" wp14:editId="14FC34E5">
            <wp:extent cx="5731200" cy="330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0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616EE0" w14:textId="77777777" w:rsidR="00357171" w:rsidRDefault="00D41473">
      <w:pPr>
        <w:spacing w:line="288" w:lineRule="auto"/>
        <w:jc w:val="center"/>
        <w:rPr>
          <w:b/>
        </w:rPr>
      </w:pPr>
      <w:r>
        <w:rPr>
          <w:b/>
        </w:rPr>
        <w:t xml:space="preserve">Таблица 1. Основные показатели рынка вторичной недвижимости в России, </w:t>
      </w:r>
    </w:p>
    <w:p w14:paraId="6CE73B86" w14:textId="77777777" w:rsidR="00357171" w:rsidRDefault="00D41473">
      <w:pPr>
        <w:spacing w:after="160" w:line="288" w:lineRule="auto"/>
        <w:jc w:val="center"/>
        <w:rPr>
          <w:b/>
        </w:rPr>
      </w:pPr>
      <w:r>
        <w:rPr>
          <w:b/>
        </w:rPr>
        <w:t>данные «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Недвижимости» за октябрь 2024 года</w:t>
      </w:r>
    </w:p>
    <w:tbl>
      <w:tblPr>
        <w:tblStyle w:val="a5"/>
        <w:tblW w:w="955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245"/>
        <w:gridCol w:w="1350"/>
        <w:gridCol w:w="1305"/>
        <w:gridCol w:w="1200"/>
        <w:gridCol w:w="1260"/>
        <w:gridCol w:w="1515"/>
      </w:tblGrid>
      <w:tr w:rsidR="00357171" w14:paraId="57289050" w14:textId="77777777">
        <w:trPr>
          <w:trHeight w:val="26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36DB3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формат жилья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46D22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динамика предложения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B63A0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динамика спроса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F9ECC1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стоимость, млн рублей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FC9D3A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кв. м, тыс. рублей</w:t>
            </w:r>
          </w:p>
        </w:tc>
      </w:tr>
      <w:tr w:rsidR="00357171" w14:paraId="10445B9C" w14:textId="77777777">
        <w:trPr>
          <w:trHeight w:val="26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52986" w14:textId="77777777" w:rsidR="00357171" w:rsidRDefault="0035717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4" w:space="0" w:color="000000"/>
            </w:tcBorders>
            <w:vAlign w:val="center"/>
          </w:tcPr>
          <w:p w14:paraId="7486D90F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июня 2024</w:t>
            </w:r>
          </w:p>
        </w:tc>
        <w:tc>
          <w:tcPr>
            <w:tcW w:w="1350" w:type="dxa"/>
            <w:tcBorders>
              <w:right w:val="single" w:sz="4" w:space="0" w:color="000000"/>
            </w:tcBorders>
            <w:vAlign w:val="center"/>
          </w:tcPr>
          <w:p w14:paraId="74421D6A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сентября 2024</w:t>
            </w:r>
          </w:p>
        </w:tc>
        <w:tc>
          <w:tcPr>
            <w:tcW w:w="1305" w:type="dxa"/>
            <w:tcBorders>
              <w:right w:val="single" w:sz="4" w:space="0" w:color="000000"/>
            </w:tcBorders>
            <w:vAlign w:val="center"/>
          </w:tcPr>
          <w:p w14:paraId="276F6D36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июня 2024</w:t>
            </w:r>
          </w:p>
        </w:tc>
        <w:tc>
          <w:tcPr>
            <w:tcW w:w="1200" w:type="dxa"/>
            <w:tcBorders>
              <w:right w:val="single" w:sz="4" w:space="0" w:color="000000"/>
            </w:tcBorders>
            <w:vAlign w:val="center"/>
          </w:tcPr>
          <w:p w14:paraId="78BD7446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сентября 2024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22A276" w14:textId="77777777" w:rsidR="00357171" w:rsidRDefault="0035717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6BF3441" w14:textId="77777777" w:rsidR="00357171" w:rsidRDefault="0035717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57171" w14:paraId="598E7373" w14:textId="77777777">
        <w:trPr>
          <w:trHeight w:val="24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297B39C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всё вместе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7764536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5EE11EB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14:paraId="7D6338A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62813C0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12E8BEF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515" w:type="dxa"/>
            <w:tcBorders>
              <w:right w:val="single" w:sz="4" w:space="0" w:color="000000"/>
            </w:tcBorders>
          </w:tcPr>
          <w:p w14:paraId="05F3158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</w:tr>
      <w:tr w:rsidR="00357171" w14:paraId="3149E411" w14:textId="77777777">
        <w:trPr>
          <w:trHeight w:val="24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48EFE99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студия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36E0B4B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-3%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6580FA0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14:paraId="20042DC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5B5C888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07EE721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515" w:type="dxa"/>
            <w:tcBorders>
              <w:right w:val="single" w:sz="4" w:space="0" w:color="000000"/>
            </w:tcBorders>
          </w:tcPr>
          <w:p w14:paraId="619BCE6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</w:tr>
      <w:tr w:rsidR="00357171" w14:paraId="5BFC8550" w14:textId="77777777">
        <w:trPr>
          <w:trHeight w:val="24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7ABF1ED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110E0C1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-2%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62F1E7C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14:paraId="7555A3F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717F4EE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3C030BF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515" w:type="dxa"/>
            <w:tcBorders>
              <w:right w:val="single" w:sz="4" w:space="0" w:color="000000"/>
            </w:tcBorders>
          </w:tcPr>
          <w:p w14:paraId="5BEE31E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357171" w14:paraId="706D0FF6" w14:textId="77777777">
        <w:trPr>
          <w:trHeight w:val="24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0193429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096DEC8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5918AD5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14:paraId="22BE0EC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704A8EC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7753A2D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515" w:type="dxa"/>
            <w:tcBorders>
              <w:right w:val="single" w:sz="4" w:space="0" w:color="000000"/>
            </w:tcBorders>
          </w:tcPr>
          <w:p w14:paraId="5E9AB70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</w:tr>
      <w:tr w:rsidR="00357171" w14:paraId="0AF43800" w14:textId="77777777">
        <w:trPr>
          <w:trHeight w:val="24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230A50F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right w:val="single" w:sz="4" w:space="0" w:color="000000"/>
            </w:tcBorders>
          </w:tcPr>
          <w:p w14:paraId="5DD0221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14:paraId="14B7AAF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05" w:type="dxa"/>
            <w:tcBorders>
              <w:right w:val="single" w:sz="4" w:space="0" w:color="000000"/>
            </w:tcBorders>
          </w:tcPr>
          <w:p w14:paraId="65266F7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0E8F08B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204F12B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515" w:type="dxa"/>
            <w:tcBorders>
              <w:right w:val="single" w:sz="4" w:space="0" w:color="000000"/>
            </w:tcBorders>
          </w:tcPr>
          <w:p w14:paraId="148D474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57171" w14:paraId="213C0971" w14:textId="77777777">
        <w:trPr>
          <w:trHeight w:val="248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D3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</w:tcPr>
          <w:p w14:paraId="030F5A5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</w:tcPr>
          <w:p w14:paraId="7F09A9B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-1%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</w:tcPr>
          <w:p w14:paraId="30C2050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14:paraId="1E483CC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44F961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1515" w:type="dxa"/>
            <w:tcBorders>
              <w:bottom w:val="single" w:sz="4" w:space="0" w:color="000000"/>
              <w:right w:val="single" w:sz="4" w:space="0" w:color="000000"/>
            </w:tcBorders>
          </w:tcPr>
          <w:p w14:paraId="0C3D283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</w:tr>
    </w:tbl>
    <w:p w14:paraId="1742F085" w14:textId="77777777" w:rsidR="00357171" w:rsidRDefault="00357171">
      <w:pPr>
        <w:spacing w:after="160" w:line="288" w:lineRule="auto"/>
        <w:jc w:val="center"/>
        <w:rPr>
          <w:b/>
        </w:rPr>
      </w:pPr>
    </w:p>
    <w:p w14:paraId="7E11E831" w14:textId="77777777" w:rsidR="00357171" w:rsidRDefault="00D41473">
      <w:pPr>
        <w:spacing w:after="160" w:line="288" w:lineRule="auto"/>
        <w:jc w:val="center"/>
        <w:rPr>
          <w:b/>
        </w:rPr>
      </w:pPr>
      <w:r>
        <w:rPr>
          <w:b/>
        </w:rPr>
        <w:lastRenderedPageBreak/>
        <w:t>Таблица 2. Стоимость квартир на вторичном рынке в городах России, данные «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Недвижимости» за октябрь 2024 года</w:t>
      </w:r>
    </w:p>
    <w:tbl>
      <w:tblPr>
        <w:tblStyle w:val="a6"/>
        <w:tblW w:w="95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680"/>
        <w:gridCol w:w="1695"/>
        <w:gridCol w:w="1950"/>
        <w:gridCol w:w="1980"/>
      </w:tblGrid>
      <w:tr w:rsidR="00357171" w14:paraId="5FA2B72B" w14:textId="77777777">
        <w:trPr>
          <w:trHeight w:val="19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005A3C1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4367D1A5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динамика спроса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  <w:vAlign w:val="center"/>
          </w:tcPr>
          <w:p w14:paraId="00E27911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стоимость, млн рублей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8" w:space="0" w:color="BFBFBF"/>
              <w:right w:val="single" w:sz="4" w:space="0" w:color="000000"/>
            </w:tcBorders>
            <w:vAlign w:val="center"/>
          </w:tcPr>
          <w:p w14:paraId="0B4B37A7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за кв. м, тыс. рублей</w:t>
            </w:r>
          </w:p>
        </w:tc>
      </w:tr>
      <w:tr w:rsidR="00357171" w14:paraId="4F2E1F81" w14:textId="77777777">
        <w:trPr>
          <w:trHeight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9C621" w14:textId="77777777" w:rsidR="00357171" w:rsidRDefault="0035717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BFBFBF"/>
              <w:right w:val="single" w:sz="8" w:space="0" w:color="000000"/>
            </w:tcBorders>
            <w:vAlign w:val="center"/>
          </w:tcPr>
          <w:p w14:paraId="0F127F29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июня 2024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000000"/>
              <w:bottom w:val="single" w:sz="8" w:space="0" w:color="BFBFBF"/>
              <w:right w:val="single" w:sz="8" w:space="0" w:color="000000"/>
            </w:tcBorders>
            <w:vAlign w:val="center"/>
          </w:tcPr>
          <w:p w14:paraId="53A510F3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сентября 2024</w:t>
            </w:r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BFBFBF"/>
              <w:right w:val="single" w:sz="8" w:space="0" w:color="BFBFBF"/>
            </w:tcBorders>
            <w:vAlign w:val="center"/>
          </w:tcPr>
          <w:p w14:paraId="7E88264D" w14:textId="77777777" w:rsidR="00357171" w:rsidRDefault="0035717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8" w:space="0" w:color="BFBFBF"/>
              <w:right w:val="single" w:sz="4" w:space="0" w:color="000000"/>
            </w:tcBorders>
            <w:vAlign w:val="center"/>
          </w:tcPr>
          <w:p w14:paraId="48325D32" w14:textId="77777777" w:rsidR="00357171" w:rsidRDefault="00357171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57171" w14:paraId="360B0E41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B779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6A8EDD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69B9649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950" w:type="dxa"/>
            <w:tcBorders>
              <w:top w:val="single" w:sz="8" w:space="0" w:color="BFBFBF"/>
              <w:left w:val="single" w:sz="8" w:space="0" w:color="BFBFBF"/>
            </w:tcBorders>
          </w:tcPr>
          <w:p w14:paraId="0853D42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12FE04C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</w:tr>
      <w:tr w:rsidR="00357171" w14:paraId="662F366E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EAF0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56FD6A1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2DC10A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F77D31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12EB412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</w:tr>
      <w:tr w:rsidR="00357171" w14:paraId="08172CC8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7FBD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Астрахань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3094634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47B2942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28E9AC4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2783D88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357171" w14:paraId="142E8422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DB7C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Барнаул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B20B6F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1191CC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4B726E8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0067E7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357171" w14:paraId="085114DF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FCB3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273F3B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75586E1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C85642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460956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357171" w14:paraId="5DDE2863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A712D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Воронеж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24F48DBC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4EE3C96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29737C8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E43E613" w14:textId="77777777" w:rsidR="00357171" w:rsidRDefault="00D414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</w:tr>
      <w:tr w:rsidR="00357171" w14:paraId="347FC89A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054B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Грозный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237F399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62D11D6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B6230E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0FA7C4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357171" w14:paraId="693B6A96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F96F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3900FA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18B42AF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2E033C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7E2EECB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357171" w14:paraId="3AD46F5E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4FB7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DE10C6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4DA5C06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6AD237D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1DB4C41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357171" w14:paraId="1DCA1697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1330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Иркутск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8CF712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933D3C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34518E5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7CF10F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357171" w14:paraId="04C2C4C2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1704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39CE24D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3467670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7DE8501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456107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</w:tr>
      <w:tr w:rsidR="00357171" w14:paraId="045BD461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2EEF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6E954A5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7051238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73CCAFB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E7D9F7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57171" w14:paraId="4B2296CD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F448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6325178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1058FF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6D71718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41CACE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357171" w14:paraId="045CC64B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011B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62B53C4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DD6479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086010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2FE1CC0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357171" w14:paraId="17037E63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FEE7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27DD45A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6EC6133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3FDC5FB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45048B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357171" w14:paraId="489DDF16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45BE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34159E4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3C65037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A42127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23CB483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</w:tr>
      <w:tr w:rsidR="00357171" w14:paraId="2C2F7CC2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433E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9C8B1E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335E151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3B5B8D8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4250ADF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57171" w14:paraId="3E3F3EEF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1DAA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71BDC04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178784C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44FD4CF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447E599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357171" w14:paraId="77AEC637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2B3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Нижний Новгород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06ABE4E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0B78125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1864201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431058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</w:tr>
      <w:tr w:rsidR="00357171" w14:paraId="25AF69C3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71D9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513651F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BF3481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2F21B8F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BC23D1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</w:tr>
      <w:tr w:rsidR="00357171" w14:paraId="1CA11247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92AB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2468964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B592B6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6E30EE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4FC03AE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357171" w14:paraId="0EEA957C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6FD8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07894F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6CF84DD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CCEA66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ED2253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</w:tr>
      <w:tr w:rsidR="00357171" w14:paraId="5DB1DEDB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57C1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Ростов</w:t>
            </w:r>
            <w:proofErr w:type="spellEnd"/>
            <w:r>
              <w:rPr>
                <w:sz w:val="18"/>
                <w:szCs w:val="18"/>
              </w:rPr>
              <w:t>-на-Дону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2E26EB4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61CE9F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3E48AD8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535029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</w:tr>
      <w:tr w:rsidR="00357171" w14:paraId="62806C66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F5CA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751B45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47FCF9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64A810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343FE5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357171" w14:paraId="0D03852C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B726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5EEFBE3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E62239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5FD4F1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1D03EB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357171" w14:paraId="4EAD594C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8986A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599BF38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4EDA2D6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230D8EF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A32171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</w:tr>
      <w:tr w:rsidR="00357171" w14:paraId="31C6CBAE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7A76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36EEF33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07F641B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D43685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E0786A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357171" w14:paraId="578EE0C2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09F7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Севастополь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0B72562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3C5EBE7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19BD1DC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72CAA5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357171" w14:paraId="2BBA7AEE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14B9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Симферополь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0CCCD26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8B0229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82ADF2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FBFCA2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</w:tr>
      <w:tr w:rsidR="00357171" w14:paraId="2FCA20E3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ACA9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350BADD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1C18216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64C5B37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0F83010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357171" w14:paraId="161425FD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C6DA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0CE824B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40D57A6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8C5161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1BEE0A7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</w:tr>
      <w:tr w:rsidR="00357171" w14:paraId="586BFA30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21B9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51E8A6E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6556BC5C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4B84FF3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483FF37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357171" w14:paraId="271BF880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9FB1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9D2CAF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46C2551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2847B6B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2385B8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357171" w14:paraId="3DCE304B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911A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7C714A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4B6F19C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03C2D4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1FA2A63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357171" w14:paraId="22C209BB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F7F9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Тюмень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56EB599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3397E1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5FA6BAC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1A5750C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</w:tr>
      <w:tr w:rsidR="00357171" w14:paraId="5F5DD7E0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09F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Улан-Удэ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48167FE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2235857B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7A4E7AE0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2FCCD03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357171" w14:paraId="2FCED253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FA82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7552E31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07DDE98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6754BEAD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923DC7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357171" w14:paraId="7BF5CE9D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779F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Уфа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18BFD5D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127ABD3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9BAD93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602B6606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</w:tr>
      <w:tr w:rsidR="00357171" w14:paraId="68BBC693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46675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</w:t>
            </w:r>
          </w:p>
        </w:tc>
        <w:tc>
          <w:tcPr>
            <w:tcW w:w="1680" w:type="dxa"/>
            <w:tcBorders>
              <w:right w:val="single" w:sz="8" w:space="0" w:color="BFBFBF"/>
            </w:tcBorders>
          </w:tcPr>
          <w:p w14:paraId="63DB4F13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6F756B0F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-1%</w:t>
            </w:r>
          </w:p>
        </w:tc>
        <w:tc>
          <w:tcPr>
            <w:tcW w:w="1950" w:type="dxa"/>
            <w:tcBorders>
              <w:left w:val="single" w:sz="8" w:space="0" w:color="BFBFBF"/>
            </w:tcBorders>
          </w:tcPr>
          <w:p w14:paraId="06991284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968135E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357171" w14:paraId="07893521" w14:textId="77777777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F5E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Ярославль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8" w:space="0" w:color="BFBFBF"/>
            </w:tcBorders>
          </w:tcPr>
          <w:p w14:paraId="408F8C77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6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left w:w="0" w:type="dxa"/>
              <w:right w:w="0" w:type="dxa"/>
            </w:tcMar>
            <w:vAlign w:val="center"/>
          </w:tcPr>
          <w:p w14:paraId="5E0C7A22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1950" w:type="dxa"/>
            <w:tcBorders>
              <w:left w:val="single" w:sz="8" w:space="0" w:color="BFBFBF"/>
              <w:bottom w:val="single" w:sz="4" w:space="0" w:color="000000"/>
            </w:tcBorders>
          </w:tcPr>
          <w:p w14:paraId="1FB66071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329E8CB8" w14:textId="77777777" w:rsidR="00357171" w:rsidRDefault="00D41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</w:tbl>
    <w:p w14:paraId="35C7F500" w14:textId="77777777" w:rsidR="00357171" w:rsidRDefault="00357171">
      <w:pPr>
        <w:spacing w:after="160" w:line="288" w:lineRule="auto"/>
        <w:jc w:val="both"/>
        <w:rPr>
          <w:sz w:val="6"/>
          <w:szCs w:val="6"/>
        </w:rPr>
      </w:pPr>
    </w:p>
    <w:p w14:paraId="530EDBD0" w14:textId="77777777" w:rsidR="00357171" w:rsidRDefault="00D41473">
      <w:pPr>
        <w:spacing w:after="120"/>
        <w:ind w:right="-149"/>
        <w:jc w:val="right"/>
        <w:rPr>
          <w:sz w:val="6"/>
          <w:szCs w:val="6"/>
        </w:rPr>
      </w:pPr>
      <w:r>
        <w:rPr>
          <w:b/>
          <w:color w:val="666666"/>
        </w:rPr>
        <w:t xml:space="preserve">Читайте все свежие новости </w:t>
      </w:r>
      <w:r>
        <w:t>«</w:t>
      </w:r>
      <w:proofErr w:type="spellStart"/>
      <w:r>
        <w:rPr>
          <w:b/>
          <w:color w:val="666666"/>
        </w:rPr>
        <w:t>Авито</w:t>
      </w:r>
      <w:proofErr w:type="spellEnd"/>
      <w:r>
        <w:t>»</w:t>
      </w:r>
      <w:r>
        <w:rPr>
          <w:b/>
          <w:color w:val="666666"/>
        </w:rPr>
        <w:t xml:space="preserve"> на </w:t>
      </w:r>
      <w:hyperlink r:id="rId6">
        <w:proofErr w:type="spellStart"/>
        <w:r>
          <w:rPr>
            <w:b/>
            <w:color w:val="1155CC"/>
            <w:u w:val="single"/>
          </w:rPr>
          <w:t>Avito.Live</w:t>
        </w:r>
        <w:proofErr w:type="spellEnd"/>
      </w:hyperlink>
      <w:r>
        <w:br/>
      </w:r>
    </w:p>
    <w:p w14:paraId="7C139A18" w14:textId="77777777" w:rsidR="00357171" w:rsidRDefault="00D414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b/>
          <w:i/>
        </w:rPr>
        <w:t>Об «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Недвижимости»</w:t>
      </w:r>
    </w:p>
    <w:p w14:paraId="170B7B44" w14:textId="77777777" w:rsidR="00357171" w:rsidRDefault="00D41473">
      <w:pPr>
        <w:spacing w:before="240" w:after="200" w:line="240" w:lineRule="auto"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Недвижимость» — федеральная платформа, представляющая все категории недвижимости в любой точке России. Каждый месяц в раздел «Недвижимость» на платформе заходят 45,3 млн человек. В среднем ежемесячно (октябрь 2024) на «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Недвижимости» было доступно более 3,4 млн активных предложений, которые суммарно собрали более 1,8 млрд просмотров. Ежедневно пользователи размещали на платформе более 34 000 новых объявлений о продаже и аренде недвижимости.  </w:t>
      </w:r>
    </w:p>
    <w:p w14:paraId="2E848C96" w14:textId="77777777" w:rsidR="00357171" w:rsidRDefault="00D41473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jdgxs" w:colFirst="0" w:colLast="0"/>
      <w:bookmarkEnd w:id="3"/>
      <w:r>
        <w:rPr>
          <w:b/>
          <w:i/>
        </w:rPr>
        <w:t>Об «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>»</w:t>
      </w:r>
    </w:p>
    <w:p w14:paraId="2E1228C4" w14:textId="77777777" w:rsidR="00357171" w:rsidRDefault="00D41473">
      <w:pPr>
        <w:spacing w:before="240" w:after="20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Согласно данным </w:t>
      </w:r>
      <w:proofErr w:type="spellStart"/>
      <w:r>
        <w:rPr>
          <w:i/>
          <w:sz w:val="18"/>
          <w:szCs w:val="18"/>
        </w:rPr>
        <w:t>Similar</w:t>
      </w:r>
      <w:proofErr w:type="spellEnd"/>
      <w:r>
        <w:rPr>
          <w:i/>
          <w:sz w:val="18"/>
          <w:szCs w:val="18"/>
        </w:rPr>
        <w:t xml:space="preserve"> Web,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— самая популярная онлайн-платформа объявлений в мире. Сегодня с помощью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совершается с Доставкой.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09B2AB9E" w14:textId="77777777" w:rsidR="00357171" w:rsidRDefault="00D41473">
      <w:pPr>
        <w:spacing w:before="240" w:after="20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Количество активных объявлений на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сегодня — более 220 млн, ежемесячная аудитория — более 72 млн пользователей. Каждую секунду на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i/>
          <w:sz w:val="18"/>
          <w:szCs w:val="18"/>
        </w:rPr>
        <w:t>Авито</w:t>
      </w:r>
      <w:proofErr w:type="spellEnd"/>
      <w:r>
        <w:rPr>
          <w:i/>
          <w:sz w:val="18"/>
          <w:szCs w:val="18"/>
        </w:rPr>
        <w:t xml:space="preserve"> работает более 10 000 сотрудников.</w:t>
      </w:r>
    </w:p>
    <w:p w14:paraId="266E79A8" w14:textId="77777777" w:rsidR="00357171" w:rsidRDefault="00D41473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</w:rPr>
        <w:t>За дополнительной информацией, пожалуйста, обращайтесь:</w:t>
      </w:r>
    </w:p>
    <w:p w14:paraId="3EA5E4FD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</w:rPr>
      </w:pPr>
      <w:r w:rsidRPr="00D41473">
        <w:rPr>
          <w:bCs/>
          <w:i/>
          <w:iCs/>
          <w:sz w:val="17"/>
          <w:szCs w:val="17"/>
        </w:rPr>
        <w:t xml:space="preserve">София Серебряная </w:t>
      </w:r>
    </w:p>
    <w:p w14:paraId="7D4E85FD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</w:rPr>
      </w:pPr>
      <w:r w:rsidRPr="00D41473">
        <w:rPr>
          <w:bCs/>
          <w:i/>
          <w:iCs/>
          <w:sz w:val="17"/>
          <w:szCs w:val="17"/>
        </w:rPr>
        <w:t xml:space="preserve">Внешняя пресс-служба </w:t>
      </w:r>
      <w:proofErr w:type="spellStart"/>
      <w:r w:rsidRPr="00D41473">
        <w:rPr>
          <w:bCs/>
          <w:i/>
          <w:iCs/>
          <w:sz w:val="17"/>
          <w:szCs w:val="17"/>
        </w:rPr>
        <w:t>Авито</w:t>
      </w:r>
      <w:proofErr w:type="spellEnd"/>
      <w:r w:rsidRPr="00D41473">
        <w:rPr>
          <w:bCs/>
          <w:i/>
          <w:iCs/>
          <w:sz w:val="17"/>
          <w:szCs w:val="17"/>
        </w:rPr>
        <w:t xml:space="preserve"> по ЦФО</w:t>
      </w:r>
    </w:p>
    <w:p w14:paraId="48773112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  <w:r w:rsidRPr="00D41473">
        <w:rPr>
          <w:bCs/>
          <w:i/>
          <w:iCs/>
          <w:sz w:val="17"/>
          <w:szCs w:val="17"/>
          <w:lang w:val="en-US"/>
        </w:rPr>
        <w:t>Phone: + 7 915 378 66 59</w:t>
      </w:r>
    </w:p>
    <w:p w14:paraId="1FA26A9D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  <w:r w:rsidRPr="00D41473">
        <w:rPr>
          <w:bCs/>
          <w:i/>
          <w:iCs/>
          <w:sz w:val="17"/>
          <w:szCs w:val="17"/>
          <w:lang w:val="en-US"/>
        </w:rPr>
        <w:t>Telegram: @silverSSM</w:t>
      </w:r>
    </w:p>
    <w:p w14:paraId="34E0D22B" w14:textId="0842C548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  <w:r w:rsidRPr="00D41473">
        <w:rPr>
          <w:bCs/>
          <w:i/>
          <w:iCs/>
          <w:sz w:val="17"/>
          <w:szCs w:val="17"/>
          <w:lang w:val="en-US"/>
        </w:rPr>
        <w:t xml:space="preserve">E-mail </w:t>
      </w:r>
      <w:hyperlink r:id="rId7" w:history="1">
        <w:r w:rsidRPr="00D41473">
          <w:rPr>
            <w:rStyle w:val="a7"/>
            <w:bCs/>
            <w:i/>
            <w:iCs/>
            <w:sz w:val="17"/>
            <w:szCs w:val="17"/>
            <w:lang w:val="en-US"/>
          </w:rPr>
          <w:t>sonya.s@redline-pr.ru</w:t>
        </w:r>
      </w:hyperlink>
    </w:p>
    <w:p w14:paraId="601626DE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</w:p>
    <w:p w14:paraId="2EF6CCC2" w14:textId="3048489B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</w:rPr>
      </w:pPr>
      <w:r w:rsidRPr="00D41473">
        <w:rPr>
          <w:bCs/>
          <w:i/>
          <w:iCs/>
          <w:sz w:val="17"/>
          <w:szCs w:val="17"/>
        </w:rPr>
        <w:t>Марина Цуканова</w:t>
      </w:r>
    </w:p>
    <w:p w14:paraId="4D1A0C5C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</w:rPr>
      </w:pPr>
      <w:r w:rsidRPr="00D41473">
        <w:rPr>
          <w:bCs/>
          <w:i/>
          <w:iCs/>
          <w:sz w:val="17"/>
          <w:szCs w:val="17"/>
        </w:rPr>
        <w:t xml:space="preserve">Пресс-офис </w:t>
      </w:r>
      <w:proofErr w:type="spellStart"/>
      <w:r w:rsidRPr="00D41473">
        <w:rPr>
          <w:bCs/>
          <w:i/>
          <w:iCs/>
          <w:sz w:val="17"/>
          <w:szCs w:val="17"/>
        </w:rPr>
        <w:t>Авито</w:t>
      </w:r>
      <w:proofErr w:type="spellEnd"/>
      <w:r w:rsidRPr="00D41473">
        <w:rPr>
          <w:bCs/>
          <w:i/>
          <w:iCs/>
          <w:sz w:val="17"/>
          <w:szCs w:val="17"/>
        </w:rPr>
        <w:t xml:space="preserve"> по ЦФО</w:t>
      </w:r>
    </w:p>
    <w:p w14:paraId="7B59161C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  <w:r w:rsidRPr="00D41473">
        <w:rPr>
          <w:bCs/>
          <w:i/>
          <w:iCs/>
          <w:sz w:val="17"/>
          <w:szCs w:val="17"/>
          <w:lang w:val="en-US"/>
        </w:rPr>
        <w:t>Phone: +7 980 341 28 43</w:t>
      </w:r>
    </w:p>
    <w:p w14:paraId="23B23792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  <w:r w:rsidRPr="00D41473">
        <w:rPr>
          <w:bCs/>
          <w:i/>
          <w:iCs/>
          <w:sz w:val="17"/>
          <w:szCs w:val="17"/>
          <w:lang w:val="en-US"/>
        </w:rPr>
        <w:t>Telegram: @matsuka24</w:t>
      </w:r>
    </w:p>
    <w:p w14:paraId="3BDDC0B0" w14:textId="317A4A6D" w:rsidR="00357171" w:rsidRPr="00D41473" w:rsidRDefault="00D41473" w:rsidP="00D41473">
      <w:pPr>
        <w:spacing w:line="240" w:lineRule="auto"/>
        <w:jc w:val="both"/>
        <w:rPr>
          <w:bCs/>
          <w:i/>
          <w:iCs/>
          <w:sz w:val="17"/>
          <w:szCs w:val="17"/>
          <w:lang w:val="en-US"/>
        </w:rPr>
      </w:pPr>
      <w:r w:rsidRPr="00D41473">
        <w:rPr>
          <w:bCs/>
          <w:i/>
          <w:iCs/>
          <w:sz w:val="17"/>
          <w:szCs w:val="17"/>
          <w:lang w:val="en-US"/>
        </w:rPr>
        <w:t xml:space="preserve">E-mail </w:t>
      </w:r>
      <w:hyperlink r:id="rId8" w:history="1">
        <w:r w:rsidRPr="00D41473">
          <w:rPr>
            <w:rStyle w:val="a7"/>
            <w:bCs/>
            <w:i/>
            <w:iCs/>
            <w:sz w:val="17"/>
            <w:szCs w:val="17"/>
            <w:lang w:val="en-US"/>
          </w:rPr>
          <w:t>maltsukanova@avito.ru</w:t>
        </w:r>
      </w:hyperlink>
    </w:p>
    <w:p w14:paraId="6AA06735" w14:textId="77777777" w:rsidR="00D41473" w:rsidRPr="00D41473" w:rsidRDefault="00D41473" w:rsidP="00D41473">
      <w:pPr>
        <w:spacing w:line="240" w:lineRule="auto"/>
        <w:jc w:val="both"/>
        <w:rPr>
          <w:bCs/>
          <w:i/>
          <w:iCs/>
          <w:lang w:val="en-US"/>
        </w:rPr>
      </w:pPr>
    </w:p>
    <w:sectPr w:rsidR="00D41473" w:rsidRPr="00D414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71"/>
    <w:rsid w:val="00323906"/>
    <w:rsid w:val="00357171"/>
    <w:rsid w:val="00870EB7"/>
    <w:rsid w:val="00C87FFC"/>
    <w:rsid w:val="00D4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DC0C"/>
  <w15:docId w15:val="{4D8864F9-E14C-4F5A-BDB4-76B9903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147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sukanova@avi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nya.s@redline-p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2024-11-15T08:24:00Z</dcterms:created>
  <dcterms:modified xsi:type="dcterms:W3CDTF">2024-11-15T14:12:00Z</dcterms:modified>
</cp:coreProperties>
</file>