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70AB">
        <w:rPr>
          <w:rFonts w:ascii="Times New Roman" w:hAnsi="Times New Roman"/>
          <w:b/>
          <w:sz w:val="24"/>
          <w:szCs w:val="24"/>
        </w:rPr>
        <w:t xml:space="preserve">«Балтийский лизинг» занял </w:t>
      </w:r>
      <w:proofErr w:type="spellStart"/>
      <w:r w:rsidRPr="006B70AB">
        <w:rPr>
          <w:rFonts w:ascii="Times New Roman" w:hAnsi="Times New Roman"/>
          <w:b/>
          <w:sz w:val="24"/>
          <w:szCs w:val="24"/>
        </w:rPr>
        <w:t>топовые</w:t>
      </w:r>
      <w:proofErr w:type="spellEnd"/>
      <w:r w:rsidRPr="006B70AB">
        <w:rPr>
          <w:rFonts w:ascii="Times New Roman" w:hAnsi="Times New Roman"/>
          <w:b/>
          <w:sz w:val="24"/>
          <w:szCs w:val="24"/>
        </w:rPr>
        <w:t xml:space="preserve"> позиции в </w:t>
      </w:r>
      <w:proofErr w:type="gramStart"/>
      <w:r w:rsidRPr="006B70AB">
        <w:rPr>
          <w:rFonts w:ascii="Times New Roman" w:hAnsi="Times New Roman"/>
          <w:b/>
          <w:sz w:val="24"/>
          <w:szCs w:val="24"/>
        </w:rPr>
        <w:t>отраслевом</w:t>
      </w:r>
      <w:proofErr w:type="gramEnd"/>
      <w:r w:rsidRPr="006B70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70AB">
        <w:rPr>
          <w:rFonts w:ascii="Times New Roman" w:hAnsi="Times New Roman"/>
          <w:b/>
          <w:sz w:val="24"/>
          <w:szCs w:val="24"/>
        </w:rPr>
        <w:t>медиарейтинге</w:t>
      </w:r>
      <w:proofErr w:type="spellEnd"/>
      <w:r w:rsidRPr="006B70AB">
        <w:rPr>
          <w:rFonts w:ascii="Times New Roman" w:hAnsi="Times New Roman"/>
          <w:b/>
          <w:sz w:val="24"/>
          <w:szCs w:val="24"/>
        </w:rPr>
        <w:t xml:space="preserve"> по итогам мая</w:t>
      </w:r>
    </w:p>
    <w:p w:rsidR="006B70AB" w:rsidRPr="006B70AB" w:rsidRDefault="00D0751B" w:rsidP="006B70A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B70AB">
        <w:rPr>
          <w:rFonts w:ascii="Times New Roman" w:hAnsi="Times New Roman"/>
          <w:b/>
          <w:sz w:val="24"/>
          <w:szCs w:val="24"/>
        </w:rPr>
        <w:t>С</w:t>
      </w:r>
      <w:r w:rsidR="00763043" w:rsidRPr="006B70AB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C75219" w:rsidRPr="006B70AB">
        <w:rPr>
          <w:rFonts w:ascii="Times New Roman" w:hAnsi="Times New Roman"/>
          <w:b/>
          <w:sz w:val="24"/>
          <w:szCs w:val="24"/>
        </w:rPr>
        <w:t>1</w:t>
      </w:r>
      <w:r w:rsidR="006B70AB" w:rsidRPr="006B70AB">
        <w:rPr>
          <w:rFonts w:ascii="Times New Roman" w:hAnsi="Times New Roman"/>
          <w:b/>
          <w:sz w:val="24"/>
          <w:szCs w:val="24"/>
        </w:rPr>
        <w:t>5</w:t>
      </w:r>
      <w:r w:rsidR="004F451F" w:rsidRPr="006B70AB">
        <w:rPr>
          <w:rFonts w:ascii="Times New Roman" w:hAnsi="Times New Roman"/>
          <w:b/>
          <w:sz w:val="24"/>
          <w:szCs w:val="24"/>
        </w:rPr>
        <w:t xml:space="preserve"> июня </w:t>
      </w:r>
      <w:r w:rsidR="00B11070" w:rsidRPr="006B70AB">
        <w:rPr>
          <w:rFonts w:ascii="Times New Roman" w:hAnsi="Times New Roman"/>
          <w:b/>
          <w:sz w:val="24"/>
          <w:szCs w:val="24"/>
        </w:rPr>
        <w:t>2021</w:t>
      </w:r>
      <w:r w:rsidR="00763043" w:rsidRPr="006B70AB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6B70AB">
        <w:rPr>
          <w:rFonts w:ascii="Times New Roman" w:hAnsi="Times New Roman"/>
          <w:b/>
          <w:sz w:val="24"/>
          <w:szCs w:val="24"/>
        </w:rPr>
        <w:t>.</w:t>
      </w:r>
      <w:r w:rsidR="00A701F0" w:rsidRPr="006B70AB">
        <w:rPr>
          <w:rFonts w:ascii="Times New Roman" w:hAnsi="Times New Roman"/>
          <w:sz w:val="24"/>
          <w:szCs w:val="24"/>
        </w:rPr>
        <w:t xml:space="preserve"> </w:t>
      </w:r>
      <w:r w:rsidR="006B70AB" w:rsidRPr="006B70AB">
        <w:rPr>
          <w:rFonts w:ascii="Times New Roman" w:hAnsi="Times New Roman"/>
          <w:sz w:val="24"/>
          <w:szCs w:val="24"/>
        </w:rPr>
        <w:t xml:space="preserve">Аналитики системы мониторинга и анализа СМИ и </w:t>
      </w:r>
      <w:proofErr w:type="spellStart"/>
      <w:r w:rsidR="006B70AB" w:rsidRPr="006B70AB">
        <w:rPr>
          <w:rFonts w:ascii="Times New Roman" w:hAnsi="Times New Roman"/>
          <w:sz w:val="24"/>
          <w:szCs w:val="24"/>
        </w:rPr>
        <w:t>соцмедиа</w:t>
      </w:r>
      <w:proofErr w:type="spellEnd"/>
      <w:r w:rsidR="006B70AB" w:rsidRPr="006B70AB">
        <w:rPr>
          <w:rFonts w:ascii="Times New Roman" w:hAnsi="Times New Roman"/>
          <w:sz w:val="24"/>
          <w:szCs w:val="24"/>
        </w:rPr>
        <w:t xml:space="preserve"> СКАН-Интерфакс опубликовали результаты отраслевого </w:t>
      </w:r>
      <w:proofErr w:type="spellStart"/>
      <w:r w:rsidR="006B70AB" w:rsidRPr="006B70AB">
        <w:rPr>
          <w:rFonts w:ascii="Times New Roman" w:hAnsi="Times New Roman"/>
          <w:sz w:val="24"/>
          <w:szCs w:val="24"/>
        </w:rPr>
        <w:t>медиарейтинга</w:t>
      </w:r>
      <w:proofErr w:type="spellEnd"/>
      <w:r w:rsidR="006B70AB" w:rsidRPr="006B70AB">
        <w:rPr>
          <w:rFonts w:ascii="Times New Roman" w:hAnsi="Times New Roman"/>
          <w:sz w:val="24"/>
          <w:szCs w:val="24"/>
        </w:rPr>
        <w:t xml:space="preserve"> российских лизингодателей по итогам мая 2021 года. По данным исследования, «Балтийский лизинг» занял вторую строчку по охвату аудитории, </w:t>
      </w:r>
      <w:proofErr w:type="gramStart"/>
      <w:r w:rsidR="006B70AB" w:rsidRPr="006B70AB">
        <w:rPr>
          <w:rFonts w:ascii="Times New Roman" w:hAnsi="Times New Roman"/>
          <w:sz w:val="24"/>
          <w:szCs w:val="24"/>
        </w:rPr>
        <w:t>увеличив этот показатель почти в пять</w:t>
      </w:r>
      <w:proofErr w:type="gramEnd"/>
      <w:r w:rsidR="006B70AB" w:rsidRPr="006B70AB">
        <w:rPr>
          <w:rFonts w:ascii="Times New Roman" w:hAnsi="Times New Roman"/>
          <w:sz w:val="24"/>
          <w:szCs w:val="24"/>
        </w:rPr>
        <w:t xml:space="preserve"> раз, также компания стала третьей среди ведущих лизингодателей по числу упоминаний в федеральных и региональных СМИ.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B70AB">
        <w:rPr>
          <w:rFonts w:ascii="Times New Roman" w:hAnsi="Times New Roman"/>
          <w:sz w:val="24"/>
          <w:szCs w:val="24"/>
        </w:rPr>
        <w:t xml:space="preserve">«Второе место по охвату аудитории и третье по количеству упоминаний у компании «Балтийский лизинг». Группа компаний «Балтийский лизинг» упоминалась в СМИ в связи с организацией премии </w:t>
      </w:r>
      <w:hyperlink r:id="rId8" w:history="1">
        <w:r w:rsidRPr="006B70AB">
          <w:rPr>
            <w:rStyle w:val="a9"/>
            <w:rFonts w:ascii="Times New Roman" w:hAnsi="Times New Roman"/>
            <w:sz w:val="24"/>
            <w:szCs w:val="24"/>
          </w:rPr>
          <w:t>«Дело года»</w:t>
        </w:r>
      </w:hyperlink>
      <w:r w:rsidRPr="006B70AB">
        <w:rPr>
          <w:rFonts w:ascii="Times New Roman" w:hAnsi="Times New Roman"/>
          <w:sz w:val="24"/>
          <w:szCs w:val="24"/>
        </w:rPr>
        <w:t xml:space="preserve">, организованной для действующих клиентов компании ко Дню российского предпринимательства, который отмечается 26 мая», - говорится в сообщении </w:t>
      </w:r>
      <w:proofErr w:type="spellStart"/>
      <w:r w:rsidRPr="006B70AB">
        <w:rPr>
          <w:rFonts w:ascii="Times New Roman" w:hAnsi="Times New Roman"/>
          <w:sz w:val="24"/>
          <w:szCs w:val="24"/>
        </w:rPr>
        <w:t>медиа-портала</w:t>
      </w:r>
      <w:proofErr w:type="spellEnd"/>
      <w:r w:rsidRPr="006B7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0AB">
        <w:rPr>
          <w:rFonts w:ascii="Times New Roman" w:hAnsi="Times New Roman"/>
          <w:sz w:val="24"/>
          <w:szCs w:val="24"/>
        </w:rPr>
        <w:t>FedLeasing.ru</w:t>
      </w:r>
      <w:proofErr w:type="spellEnd"/>
      <w:r w:rsidRPr="006B70AB">
        <w:rPr>
          <w:rFonts w:ascii="Times New Roman" w:hAnsi="Times New Roman"/>
          <w:sz w:val="24"/>
          <w:szCs w:val="24"/>
        </w:rPr>
        <w:t>.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B70AB">
        <w:rPr>
          <w:rFonts w:ascii="Times New Roman" w:hAnsi="Times New Roman"/>
          <w:sz w:val="24"/>
          <w:szCs w:val="24"/>
        </w:rPr>
        <w:t xml:space="preserve">Также авторы исследования сообщают, что в числе популярных новостей в мае были публикации о том, что агентство </w:t>
      </w:r>
      <w:proofErr w:type="spellStart"/>
      <w:r w:rsidRPr="006B70AB">
        <w:rPr>
          <w:rFonts w:ascii="Times New Roman" w:hAnsi="Times New Roman"/>
          <w:sz w:val="24"/>
          <w:szCs w:val="24"/>
        </w:rPr>
        <w:t>Fitch</w:t>
      </w:r>
      <w:proofErr w:type="spellEnd"/>
      <w:r w:rsidRPr="006B70AB">
        <w:rPr>
          <w:rFonts w:ascii="Times New Roman" w:hAnsi="Times New Roman"/>
          <w:sz w:val="24"/>
          <w:szCs w:val="24"/>
        </w:rPr>
        <w:t xml:space="preserve"> подтвердило долгосрочный рейтинг «Балтийского лизинга» на уровне «BB» со стабильным прогнозом; о заключении договора операционной аренды с «Научно-исследовательским институтом глазных болезней» и другие.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B70AB">
        <w:rPr>
          <w:rFonts w:ascii="Times New Roman" w:hAnsi="Times New Roman"/>
          <w:sz w:val="24"/>
          <w:szCs w:val="24"/>
        </w:rPr>
        <w:t xml:space="preserve">Исследование было подготовлено на основе данных мониторинга и анализа СМИ и </w:t>
      </w:r>
      <w:proofErr w:type="spellStart"/>
      <w:r w:rsidRPr="006B70AB">
        <w:rPr>
          <w:rFonts w:ascii="Times New Roman" w:hAnsi="Times New Roman"/>
          <w:sz w:val="24"/>
          <w:szCs w:val="24"/>
        </w:rPr>
        <w:t>соцмедиа</w:t>
      </w:r>
      <w:proofErr w:type="spellEnd"/>
      <w:r w:rsidRPr="006B70AB">
        <w:rPr>
          <w:rFonts w:ascii="Times New Roman" w:hAnsi="Times New Roman"/>
          <w:sz w:val="24"/>
          <w:szCs w:val="24"/>
        </w:rPr>
        <w:t xml:space="preserve"> «СКАН-Интерфакс» по просьбе </w:t>
      </w:r>
      <w:proofErr w:type="spellStart"/>
      <w:r w:rsidRPr="006B70AB">
        <w:rPr>
          <w:rFonts w:ascii="Times New Roman" w:hAnsi="Times New Roman"/>
          <w:sz w:val="24"/>
          <w:szCs w:val="24"/>
        </w:rPr>
        <w:t>медиа-портала</w:t>
      </w:r>
      <w:proofErr w:type="spellEnd"/>
      <w:r w:rsidRPr="006B7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0AB">
        <w:rPr>
          <w:rFonts w:ascii="Times New Roman" w:hAnsi="Times New Roman"/>
          <w:sz w:val="24"/>
          <w:szCs w:val="24"/>
        </w:rPr>
        <w:t>FedLeasing.ru</w:t>
      </w:r>
      <w:proofErr w:type="spellEnd"/>
      <w:r w:rsidRPr="006B70AB">
        <w:rPr>
          <w:rFonts w:ascii="Times New Roman" w:hAnsi="Times New Roman"/>
          <w:sz w:val="24"/>
          <w:szCs w:val="24"/>
        </w:rPr>
        <w:t xml:space="preserve">. Аналитики составили рейтинги на базе трех показателей: индекса </w:t>
      </w:r>
      <w:proofErr w:type="spellStart"/>
      <w:r w:rsidRPr="006B70AB">
        <w:rPr>
          <w:rFonts w:ascii="Times New Roman" w:hAnsi="Times New Roman"/>
          <w:sz w:val="24"/>
          <w:szCs w:val="24"/>
        </w:rPr>
        <w:t>упоминаемости</w:t>
      </w:r>
      <w:proofErr w:type="spellEnd"/>
      <w:r w:rsidRPr="006B70AB">
        <w:rPr>
          <w:rFonts w:ascii="Times New Roman" w:hAnsi="Times New Roman"/>
          <w:sz w:val="24"/>
          <w:szCs w:val="24"/>
        </w:rPr>
        <w:t xml:space="preserve"> в СМИ, индекса заметности и охвата аудитории. В </w:t>
      </w:r>
      <w:hyperlink r:id="rId9" w:tgtFrame="_blank" w:history="1">
        <w:r w:rsidRPr="006B70AB">
          <w:rPr>
            <w:rStyle w:val="a9"/>
            <w:rFonts w:ascii="Times New Roman" w:hAnsi="Times New Roman"/>
            <w:sz w:val="24"/>
            <w:szCs w:val="24"/>
          </w:rPr>
          <w:t>майском рейтинге</w:t>
        </w:r>
      </w:hyperlink>
      <w:r w:rsidRPr="006B70AB">
        <w:rPr>
          <w:rFonts w:ascii="Times New Roman" w:hAnsi="Times New Roman"/>
          <w:sz w:val="24"/>
          <w:szCs w:val="24"/>
        </w:rPr>
        <w:t> отражена работа 20 лизинговых компаний.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B70AB">
        <w:rPr>
          <w:rFonts w:ascii="Times New Roman" w:hAnsi="Times New Roman"/>
          <w:b/>
          <w:sz w:val="24"/>
          <w:szCs w:val="24"/>
        </w:rPr>
        <w:t>Справка: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</w:rPr>
      </w:pPr>
      <w:r w:rsidRPr="006B70AB">
        <w:rPr>
          <w:rFonts w:ascii="Times New Roman" w:hAnsi="Times New Roman"/>
        </w:rPr>
        <w:t xml:space="preserve">Индекс </w:t>
      </w:r>
      <w:proofErr w:type="spellStart"/>
      <w:r w:rsidRPr="006B70AB">
        <w:rPr>
          <w:rFonts w:ascii="Times New Roman" w:hAnsi="Times New Roman"/>
        </w:rPr>
        <w:t>упоминаемости</w:t>
      </w:r>
      <w:proofErr w:type="spellEnd"/>
      <w:r w:rsidRPr="006B70AB">
        <w:rPr>
          <w:rFonts w:ascii="Times New Roman" w:hAnsi="Times New Roman"/>
        </w:rPr>
        <w:t xml:space="preserve"> показывает, сколько раз информация о компании была озвучена в СМИ. Индекс заметности, в свою очередь, говорит о позиции лизингодателя в </w:t>
      </w:r>
      <w:proofErr w:type="spellStart"/>
      <w:r w:rsidRPr="006B70AB">
        <w:rPr>
          <w:rFonts w:ascii="Times New Roman" w:hAnsi="Times New Roman"/>
        </w:rPr>
        <w:t>медиаполе</w:t>
      </w:r>
      <w:proofErr w:type="spellEnd"/>
      <w:r w:rsidRPr="006B70AB">
        <w:rPr>
          <w:rFonts w:ascii="Times New Roman" w:hAnsi="Times New Roman"/>
        </w:rPr>
        <w:t xml:space="preserve"> среди конкурентов. В основе показателя лежит рейтинг источников по цитируемости, также учитывается влиятельность СМИ и роль компании в новости. Охват аудитории – среднесуточный показатель потенциальной аудитории СМИ на дату публикации.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</w:rPr>
      </w:pPr>
      <w:r w:rsidRPr="006B70AB">
        <w:rPr>
          <w:rFonts w:ascii="Times New Roman" w:hAnsi="Times New Roman"/>
        </w:rPr>
        <w:t xml:space="preserve">СКАН - это система анализа </w:t>
      </w:r>
      <w:proofErr w:type="spellStart"/>
      <w:r w:rsidRPr="006B70AB">
        <w:rPr>
          <w:rFonts w:ascii="Times New Roman" w:hAnsi="Times New Roman"/>
        </w:rPr>
        <w:t>медиасреды</w:t>
      </w:r>
      <w:proofErr w:type="spellEnd"/>
      <w:r w:rsidRPr="006B70AB">
        <w:rPr>
          <w:rFonts w:ascii="Times New Roman" w:hAnsi="Times New Roman"/>
        </w:rPr>
        <w:t>, созданная информационным агентством «Интерфакс» для менеджеров по коммуникациям и PR.</w:t>
      </w:r>
    </w:p>
    <w:p w:rsidR="006B70AB" w:rsidRPr="006B70AB" w:rsidRDefault="006B70AB" w:rsidP="006B70A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37E2" w:rsidRDefault="00BC47D2" w:rsidP="006B70AB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CA681D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3801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1D64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A7F85"/>
    <w:rsid w:val="003B07AD"/>
    <w:rsid w:val="003B4BB8"/>
    <w:rsid w:val="003B647C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6B6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A61D9"/>
    <w:rsid w:val="006B11A1"/>
    <w:rsid w:val="006B1C36"/>
    <w:rsid w:val="006B401A"/>
    <w:rsid w:val="006B40B6"/>
    <w:rsid w:val="006B626E"/>
    <w:rsid w:val="006B70AB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1B66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5505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5AC9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219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A681D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1453"/>
    <w:rsid w:val="00D43046"/>
    <w:rsid w:val="00D4348D"/>
    <w:rsid w:val="00D43757"/>
    <w:rsid w:val="00D43F86"/>
    <w:rsid w:val="00D4487C"/>
    <w:rsid w:val="00D45579"/>
    <w:rsid w:val="00D5047E"/>
    <w:rsid w:val="00D535E8"/>
    <w:rsid w:val="00D60178"/>
    <w:rsid w:val="00D61B20"/>
    <w:rsid w:val="00D61EF3"/>
    <w:rsid w:val="00D67BB8"/>
    <w:rsid w:val="00D67FB3"/>
    <w:rsid w:val="00D72F44"/>
    <w:rsid w:val="00D74801"/>
    <w:rsid w:val="00D8081C"/>
    <w:rsid w:val="00D810C8"/>
    <w:rsid w:val="00D83A59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4BF6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605A"/>
    <w:rsid w:val="00E17735"/>
    <w:rsid w:val="00E21E8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220C"/>
    <w:rsid w:val="00E33E84"/>
    <w:rsid w:val="00E342D3"/>
    <w:rsid w:val="00E34CD5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6816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91CE1"/>
    <w:rsid w:val="00F92817"/>
    <w:rsid w:val="00F92E9E"/>
    <w:rsid w:val="00F95463"/>
    <w:rsid w:val="00F96345"/>
    <w:rsid w:val="00F96514"/>
    <w:rsid w:val="00F975FC"/>
    <w:rsid w:val="00FA2B2A"/>
    <w:rsid w:val="00FA2CAE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2480447-baltiyskiy-lizing-zapuskaet-premiyu-dlya-predprinimateley-delo--go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dleasing.ru/articles/analitika/media-reytingi-lizingovykh-kompaniy-za-may-2021-god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CEB9B-347E-4A9D-82D8-A3C39704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598</cp:revision>
  <dcterms:created xsi:type="dcterms:W3CDTF">2018-07-26T07:30:00Z</dcterms:created>
  <dcterms:modified xsi:type="dcterms:W3CDTF">2021-06-15T13:19:00Z</dcterms:modified>
</cp:coreProperties>
</file>