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21" w:rsidRPr="00530324" w:rsidRDefault="00437D21" w:rsidP="00437D21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530324">
        <w:rPr>
          <w:rFonts w:ascii="Times New Roman" w:hAnsi="Times New Roman"/>
          <w:b/>
          <w:sz w:val="24"/>
          <w:szCs w:val="24"/>
        </w:rPr>
        <w:t>«Балтийский лизинг» вошел в топ-5 лизингодателей по числу сделок в I полугодии 2019 года</w:t>
      </w:r>
    </w:p>
    <w:p w:rsidR="00437D21" w:rsidRPr="00530324" w:rsidRDefault="00763043" w:rsidP="00437D21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4C1E7C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4C1E7C" w:rsidRPr="004C1E7C">
        <w:rPr>
          <w:rFonts w:ascii="Times New Roman" w:hAnsi="Times New Roman"/>
          <w:b/>
          <w:sz w:val="24"/>
          <w:szCs w:val="24"/>
        </w:rPr>
        <w:t>1</w:t>
      </w:r>
      <w:r w:rsidR="00652AB4" w:rsidRPr="00652AB4">
        <w:rPr>
          <w:rFonts w:ascii="Times New Roman" w:hAnsi="Times New Roman"/>
          <w:b/>
          <w:sz w:val="24"/>
          <w:szCs w:val="24"/>
        </w:rPr>
        <w:t>7</w:t>
      </w:r>
      <w:r w:rsidRPr="004C1E7C">
        <w:rPr>
          <w:rFonts w:ascii="Times New Roman" w:hAnsi="Times New Roman"/>
          <w:b/>
          <w:sz w:val="24"/>
          <w:szCs w:val="24"/>
        </w:rPr>
        <w:t xml:space="preserve"> </w:t>
      </w:r>
      <w:r w:rsidR="00D21135" w:rsidRPr="004C1E7C">
        <w:rPr>
          <w:rFonts w:ascii="Times New Roman" w:hAnsi="Times New Roman"/>
          <w:b/>
          <w:sz w:val="24"/>
          <w:szCs w:val="24"/>
        </w:rPr>
        <w:t>сентября</w:t>
      </w:r>
      <w:r w:rsidR="000F62C2" w:rsidRPr="004C1E7C">
        <w:rPr>
          <w:rFonts w:ascii="Times New Roman" w:hAnsi="Times New Roman"/>
          <w:b/>
          <w:sz w:val="24"/>
          <w:szCs w:val="24"/>
        </w:rPr>
        <w:t xml:space="preserve"> </w:t>
      </w:r>
      <w:r w:rsidRPr="004C1E7C">
        <w:rPr>
          <w:rFonts w:ascii="Times New Roman" w:hAnsi="Times New Roman"/>
          <w:b/>
          <w:sz w:val="24"/>
          <w:szCs w:val="24"/>
        </w:rPr>
        <w:t>2019 года.</w:t>
      </w:r>
      <w:r w:rsidRPr="004C1E7C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37D21" w:rsidRPr="00530324">
        <w:rPr>
          <w:rFonts w:ascii="Times New Roman" w:hAnsi="Times New Roman"/>
          <w:sz w:val="24"/>
          <w:szCs w:val="24"/>
        </w:rPr>
        <w:t xml:space="preserve">Компания «Балтийский лизинг» вошла в топ-5 лизинговых </w:t>
      </w:r>
      <w:r w:rsidR="00437D21">
        <w:rPr>
          <w:rFonts w:ascii="Times New Roman" w:hAnsi="Times New Roman"/>
          <w:sz w:val="24"/>
          <w:szCs w:val="24"/>
        </w:rPr>
        <w:t xml:space="preserve">организаций </w:t>
      </w:r>
      <w:r w:rsidR="00437D21" w:rsidRPr="00530324">
        <w:rPr>
          <w:rFonts w:ascii="Times New Roman" w:hAnsi="Times New Roman"/>
          <w:sz w:val="24"/>
          <w:szCs w:val="24"/>
        </w:rPr>
        <w:t xml:space="preserve"> России по количеству новых заключенных договоров в первом полугодии 2019 года. По результатам исследования, п</w:t>
      </w:r>
      <w:r w:rsidR="00375FCC">
        <w:rPr>
          <w:rFonts w:ascii="Times New Roman" w:hAnsi="Times New Roman"/>
          <w:sz w:val="24"/>
          <w:szCs w:val="24"/>
        </w:rPr>
        <w:t>р</w:t>
      </w:r>
      <w:r w:rsidR="00437D21" w:rsidRPr="00530324">
        <w:rPr>
          <w:rFonts w:ascii="Times New Roman" w:hAnsi="Times New Roman"/>
          <w:sz w:val="24"/>
          <w:szCs w:val="24"/>
        </w:rPr>
        <w:t>оведенного рейтинговым агентством «Эксперт РА», лизингодатель занял пятое место.</w:t>
      </w:r>
    </w:p>
    <w:p w:rsidR="00437D21" w:rsidRPr="00530324" w:rsidRDefault="00437D21" w:rsidP="00437D21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530324">
        <w:rPr>
          <w:rFonts w:ascii="Times New Roman" w:hAnsi="Times New Roman"/>
          <w:sz w:val="24"/>
          <w:szCs w:val="24"/>
        </w:rPr>
        <w:t xml:space="preserve">Как сообщают аналитики, число новых сделок, которые менеджеры «Балтийского лизинга» заключили с клиентами  за </w:t>
      </w:r>
      <w:r>
        <w:rPr>
          <w:rFonts w:ascii="Times New Roman" w:hAnsi="Times New Roman"/>
          <w:sz w:val="24"/>
          <w:szCs w:val="24"/>
        </w:rPr>
        <w:t xml:space="preserve">отчетный период, </w:t>
      </w:r>
      <w:r w:rsidRPr="00530324">
        <w:rPr>
          <w:rFonts w:ascii="Times New Roman" w:hAnsi="Times New Roman"/>
          <w:sz w:val="24"/>
          <w:szCs w:val="24"/>
        </w:rPr>
        <w:t>составило 9 147 договоров финансового и операционного лизинга. По отношению к аналогичному периоду прошлого года показатель вырос на 20%.</w:t>
      </w:r>
    </w:p>
    <w:p w:rsidR="00437D21" w:rsidRPr="00530324" w:rsidRDefault="00437D21" w:rsidP="00437D21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«В исследовании по итогам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437D21">
        <w:rPr>
          <w:rFonts w:ascii="Times New Roman" w:hAnsi="Times New Roman"/>
          <w:sz w:val="24"/>
          <w:szCs w:val="24"/>
        </w:rPr>
        <w:t xml:space="preserve"> </w:t>
      </w:r>
      <w:r w:rsidRPr="00530324">
        <w:rPr>
          <w:rFonts w:ascii="Times New Roman" w:hAnsi="Times New Roman"/>
          <w:sz w:val="24"/>
          <w:szCs w:val="24"/>
        </w:rPr>
        <w:t>полугодия 2019 года приняли участие 106 лизинговых компаний, объем нового бизнеса которых, по нашим подсчетам, составляет около 95% всего лизингового рынка», - говорится в сообщении «Эксперт РА».</w:t>
      </w:r>
    </w:p>
    <w:p w:rsidR="00437D21" w:rsidRPr="00530324" w:rsidRDefault="00437D21" w:rsidP="00437D21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тексте исследования сообщается</w:t>
      </w:r>
      <w:r w:rsidRPr="00530324">
        <w:rPr>
          <w:rFonts w:ascii="Times New Roman" w:hAnsi="Times New Roman"/>
          <w:sz w:val="24"/>
          <w:szCs w:val="24"/>
        </w:rPr>
        <w:t xml:space="preserve">, что наибольший абсолютный прирост </w:t>
      </w:r>
      <w:r>
        <w:rPr>
          <w:rFonts w:ascii="Times New Roman" w:hAnsi="Times New Roman"/>
          <w:sz w:val="24"/>
          <w:szCs w:val="24"/>
        </w:rPr>
        <w:t xml:space="preserve">зафиксирован в </w:t>
      </w:r>
      <w:r w:rsidRPr="0053032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егментах</w:t>
      </w:r>
      <w:r w:rsidRPr="00530324">
        <w:rPr>
          <w:rFonts w:ascii="Times New Roman" w:hAnsi="Times New Roman"/>
          <w:sz w:val="24"/>
          <w:szCs w:val="24"/>
        </w:rPr>
        <w:t xml:space="preserve"> недвижимост</w:t>
      </w:r>
      <w:r>
        <w:rPr>
          <w:rFonts w:ascii="Times New Roman" w:hAnsi="Times New Roman"/>
          <w:sz w:val="24"/>
          <w:szCs w:val="24"/>
        </w:rPr>
        <w:t>и</w:t>
      </w:r>
      <w:r w:rsidRPr="00530324">
        <w:rPr>
          <w:rFonts w:ascii="Times New Roman" w:hAnsi="Times New Roman"/>
          <w:sz w:val="24"/>
          <w:szCs w:val="24"/>
        </w:rPr>
        <w:t xml:space="preserve"> (рост 65 </w:t>
      </w:r>
      <w:proofErr w:type="spellStart"/>
      <w:proofErr w:type="gramStart"/>
      <w:r w:rsidRPr="00530324">
        <w:rPr>
          <w:rFonts w:ascii="Times New Roman" w:hAnsi="Times New Roman"/>
          <w:sz w:val="24"/>
          <w:szCs w:val="24"/>
        </w:rPr>
        <w:t>млрд</w:t>
      </w:r>
      <w:proofErr w:type="spellEnd"/>
      <w:proofErr w:type="gramEnd"/>
      <w:r w:rsidRPr="00530324">
        <w:rPr>
          <w:rFonts w:ascii="Times New Roman" w:hAnsi="Times New Roman"/>
          <w:sz w:val="24"/>
          <w:szCs w:val="24"/>
        </w:rPr>
        <w:t xml:space="preserve"> рублей) и морски</w:t>
      </w:r>
      <w:r>
        <w:rPr>
          <w:rFonts w:ascii="Times New Roman" w:hAnsi="Times New Roman"/>
          <w:sz w:val="24"/>
          <w:szCs w:val="24"/>
        </w:rPr>
        <w:t>х</w:t>
      </w:r>
      <w:r w:rsidRPr="00530324">
        <w:rPr>
          <w:rFonts w:ascii="Times New Roman" w:hAnsi="Times New Roman"/>
          <w:sz w:val="24"/>
          <w:szCs w:val="24"/>
        </w:rPr>
        <w:t xml:space="preserve"> и речны</w:t>
      </w:r>
      <w:r>
        <w:rPr>
          <w:rFonts w:ascii="Times New Roman" w:hAnsi="Times New Roman"/>
          <w:sz w:val="24"/>
          <w:szCs w:val="24"/>
        </w:rPr>
        <w:t>х</w:t>
      </w:r>
      <w:r w:rsidRPr="00530324">
        <w:rPr>
          <w:rFonts w:ascii="Times New Roman" w:hAnsi="Times New Roman"/>
          <w:sz w:val="24"/>
          <w:szCs w:val="24"/>
        </w:rPr>
        <w:t xml:space="preserve"> суд</w:t>
      </w:r>
      <w:r>
        <w:rPr>
          <w:rFonts w:ascii="Times New Roman" w:hAnsi="Times New Roman"/>
          <w:sz w:val="24"/>
          <w:szCs w:val="24"/>
        </w:rPr>
        <w:t>ов</w:t>
      </w:r>
      <w:r w:rsidRPr="00530324">
        <w:rPr>
          <w:rFonts w:ascii="Times New Roman" w:hAnsi="Times New Roman"/>
          <w:sz w:val="24"/>
          <w:szCs w:val="24"/>
        </w:rPr>
        <w:t xml:space="preserve"> (40 </w:t>
      </w:r>
      <w:proofErr w:type="spellStart"/>
      <w:r w:rsidRPr="00530324">
        <w:rPr>
          <w:rFonts w:ascii="Times New Roman" w:hAnsi="Times New Roman"/>
          <w:sz w:val="24"/>
          <w:szCs w:val="24"/>
        </w:rPr>
        <w:t>млрд</w:t>
      </w:r>
      <w:proofErr w:type="spellEnd"/>
      <w:r w:rsidRPr="00530324">
        <w:rPr>
          <w:rFonts w:ascii="Times New Roman" w:hAnsi="Times New Roman"/>
          <w:sz w:val="24"/>
          <w:szCs w:val="24"/>
        </w:rPr>
        <w:t xml:space="preserve"> рублей). Также увеличилась доля лизинга в продажах легковых автомобилей - с 9% до 10%. </w:t>
      </w:r>
      <w:r>
        <w:rPr>
          <w:rFonts w:ascii="Times New Roman" w:hAnsi="Times New Roman"/>
          <w:sz w:val="24"/>
          <w:szCs w:val="24"/>
        </w:rPr>
        <w:t>А</w:t>
      </w:r>
      <w:r w:rsidRPr="00530324">
        <w:rPr>
          <w:rFonts w:ascii="Times New Roman" w:hAnsi="Times New Roman"/>
          <w:sz w:val="24"/>
          <w:szCs w:val="24"/>
        </w:rPr>
        <w:t>налитики подчеркнули, что по итогам первой половины 2019-го объем нового бизнеса</w:t>
      </w:r>
      <w:r>
        <w:rPr>
          <w:rFonts w:ascii="Times New Roman" w:hAnsi="Times New Roman"/>
          <w:sz w:val="24"/>
          <w:szCs w:val="24"/>
        </w:rPr>
        <w:t xml:space="preserve"> отрасли в РФ</w:t>
      </w:r>
      <w:r w:rsidRPr="00530324">
        <w:rPr>
          <w:rFonts w:ascii="Times New Roman" w:hAnsi="Times New Roman"/>
          <w:sz w:val="24"/>
          <w:szCs w:val="24"/>
        </w:rPr>
        <w:t xml:space="preserve"> составил 730 </w:t>
      </w:r>
      <w:proofErr w:type="spellStart"/>
      <w:proofErr w:type="gramStart"/>
      <w:r w:rsidRPr="00530324">
        <w:rPr>
          <w:rFonts w:ascii="Times New Roman" w:hAnsi="Times New Roman"/>
          <w:sz w:val="24"/>
          <w:szCs w:val="24"/>
        </w:rPr>
        <w:t>млрд</w:t>
      </w:r>
      <w:proofErr w:type="spellEnd"/>
      <w:proofErr w:type="gramEnd"/>
      <w:r w:rsidRPr="00530324">
        <w:rPr>
          <w:rFonts w:ascii="Times New Roman" w:hAnsi="Times New Roman"/>
          <w:sz w:val="24"/>
          <w:szCs w:val="24"/>
        </w:rPr>
        <w:t xml:space="preserve"> рублей, показав рост на 13%.</w:t>
      </w:r>
    </w:p>
    <w:p w:rsidR="00437D21" w:rsidRPr="00530324" w:rsidRDefault="00437D21" w:rsidP="00437D21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530324">
        <w:rPr>
          <w:rFonts w:ascii="Times New Roman" w:hAnsi="Times New Roman"/>
          <w:sz w:val="24"/>
          <w:szCs w:val="24"/>
        </w:rPr>
        <w:t>Напомним, что по итогам первого полугодия 2019 года объем нового бизнеса (стоимость лизингового имущества без НДС) компании «Балтийский лизинг»</w:t>
      </w:r>
      <w:r w:rsidRPr="00484C84">
        <w:t xml:space="preserve"> </w:t>
      </w:r>
      <w:hyperlink r:id="rId8" w:history="1">
        <w:r w:rsidRPr="00484C84">
          <w:rPr>
            <w:rStyle w:val="a9"/>
            <w:rFonts w:ascii="Times New Roman" w:hAnsi="Times New Roman"/>
            <w:sz w:val="24"/>
            <w:szCs w:val="24"/>
          </w:rPr>
          <w:t xml:space="preserve">превысил 24,7 </w:t>
        </w:r>
        <w:proofErr w:type="spellStart"/>
        <w:proofErr w:type="gramStart"/>
        <w:r w:rsidRPr="00484C84">
          <w:rPr>
            <w:rStyle w:val="a9"/>
            <w:rFonts w:ascii="Times New Roman" w:hAnsi="Times New Roman"/>
            <w:sz w:val="24"/>
            <w:szCs w:val="24"/>
          </w:rPr>
          <w:t>млрд</w:t>
        </w:r>
        <w:proofErr w:type="spellEnd"/>
        <w:proofErr w:type="gramEnd"/>
        <w:r w:rsidRPr="00484C84">
          <w:rPr>
            <w:rStyle w:val="a9"/>
            <w:rFonts w:ascii="Times New Roman" w:hAnsi="Times New Roman"/>
            <w:sz w:val="24"/>
            <w:szCs w:val="24"/>
          </w:rPr>
          <w:t xml:space="preserve"> рублей</w:t>
        </w:r>
      </w:hyperlink>
      <w:r w:rsidRPr="00484C84">
        <w:t xml:space="preserve">, </w:t>
      </w:r>
      <w:r w:rsidRPr="00530324">
        <w:rPr>
          <w:rFonts w:ascii="Times New Roman" w:hAnsi="Times New Roman"/>
          <w:sz w:val="24"/>
          <w:szCs w:val="24"/>
        </w:rPr>
        <w:t>что на 27% больше аналогичного показателя 2018 года. Среди клиентов «Балтийского лизинга» по-прежнему преобладают компании малого и среднего бизнеса. Доля сделок с предпринимателям</w:t>
      </w:r>
      <w:r>
        <w:rPr>
          <w:rFonts w:ascii="Times New Roman" w:hAnsi="Times New Roman"/>
          <w:sz w:val="24"/>
          <w:szCs w:val="24"/>
        </w:rPr>
        <w:t>и</w:t>
      </w:r>
      <w:r w:rsidRPr="00530324">
        <w:rPr>
          <w:rFonts w:ascii="Times New Roman" w:hAnsi="Times New Roman"/>
          <w:sz w:val="24"/>
          <w:szCs w:val="24"/>
        </w:rPr>
        <w:t>, работающими в этих сегментах, составляет 90,6%.</w:t>
      </w:r>
    </w:p>
    <w:p w:rsidR="00437D21" w:rsidRDefault="00437D21" w:rsidP="00437D21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484C84">
        <w:rPr>
          <w:rFonts w:ascii="Times New Roman" w:hAnsi="Times New Roman"/>
          <w:sz w:val="24"/>
          <w:szCs w:val="24"/>
        </w:rPr>
        <w:t xml:space="preserve"> числе сегментов-лидеров – грузовой автотранспорт, доля которого в объеме нового бизнеса составляет 34,5%, легковые автомобили – 27,1%, строительная и дорожно-строительная техника – 15,3%. Оставшаяся доля приходится на сельскохозяйственную технику, машиностроительное и складское оборудование и прочее имущество.</w:t>
      </w:r>
    </w:p>
    <w:p w:rsidR="00437D21" w:rsidRPr="00437D21" w:rsidRDefault="00437D21" w:rsidP="00437D21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AE6084" w:rsidRPr="004C1E7C" w:rsidRDefault="00437D21" w:rsidP="00652AB4">
      <w:pPr>
        <w:tabs>
          <w:tab w:val="left" w:pos="567"/>
        </w:tabs>
        <w:spacing w:after="24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C47D2" w:rsidRPr="004C1E7C">
        <w:rPr>
          <w:rFonts w:ascii="Times New Roman" w:hAnsi="Times New Roman"/>
          <w:sz w:val="24"/>
          <w:szCs w:val="24"/>
          <w:lang w:eastAsia="ru-RU"/>
        </w:rPr>
        <w:t>***</w:t>
      </w:r>
    </w:p>
    <w:p w:rsidR="00454BCB" w:rsidRPr="004C1E7C" w:rsidRDefault="00A376A1" w:rsidP="00D21135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4C1E7C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4C1E7C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4C1E7C">
        <w:rPr>
          <w:rFonts w:ascii="Times New Roman" w:hAnsi="Times New Roman"/>
          <w:i/>
          <w:sz w:val="20"/>
          <w:szCs w:val="20"/>
        </w:rPr>
        <w:t xml:space="preserve">-е место в отраслевом </w:t>
      </w:r>
      <w:proofErr w:type="spellStart"/>
      <w:r w:rsidRPr="004C1E7C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4C1E7C">
        <w:rPr>
          <w:rFonts w:ascii="Times New Roman" w:hAnsi="Times New Roman"/>
          <w:i/>
          <w:sz w:val="20"/>
          <w:szCs w:val="20"/>
        </w:rPr>
        <w:t xml:space="preserve"> агент</w:t>
      </w:r>
      <w:r w:rsidR="00412B5C" w:rsidRPr="004C1E7C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4C1E7C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2E0DEE" w:rsidRPr="004C1E7C">
        <w:rPr>
          <w:rFonts w:ascii="Times New Roman" w:hAnsi="Times New Roman"/>
          <w:i/>
          <w:sz w:val="20"/>
          <w:szCs w:val="20"/>
        </w:rPr>
        <w:t>ная сеть компании насчитывает 73</w:t>
      </w:r>
      <w:r w:rsidR="00186CF7" w:rsidRPr="004C1E7C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4C1E7C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4C1E7C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года объем нового бизнеса (стоимость лизингового имущества без НДС) компании «Балтийский лизинг» превысил </w:t>
      </w:r>
      <w:r w:rsidR="004824D2" w:rsidRPr="004C1E7C">
        <w:rPr>
          <w:rFonts w:ascii="Times New Roman" w:hAnsi="Times New Roman"/>
          <w:i/>
          <w:sz w:val="20"/>
          <w:szCs w:val="20"/>
        </w:rPr>
        <w:t xml:space="preserve">42,6 </w:t>
      </w:r>
      <w:r w:rsidR="00865AFE" w:rsidRPr="004C1E7C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r w:rsidR="00865AFE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млрд рублей. </w:t>
      </w:r>
      <w:r w:rsidRPr="004C1E7C">
        <w:rPr>
          <w:rFonts w:ascii="Times New Roman" w:hAnsi="Times New Roman"/>
          <w:i/>
          <w:sz w:val="20"/>
          <w:szCs w:val="20"/>
        </w:rPr>
        <w:t>В декабре 2017 год</w:t>
      </w:r>
      <w:r w:rsidR="00227367" w:rsidRPr="004C1E7C">
        <w:rPr>
          <w:rFonts w:ascii="Times New Roman" w:hAnsi="Times New Roman"/>
          <w:i/>
          <w:sz w:val="20"/>
          <w:szCs w:val="20"/>
        </w:rPr>
        <w:t>а «Эксперт РА» присвоил компании</w:t>
      </w:r>
      <w:r w:rsidRPr="004C1E7C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кредитоспособности на уровне </w:t>
      </w:r>
      <w:proofErr w:type="spellStart"/>
      <w:r w:rsidRPr="004C1E7C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4C1E7C">
        <w:rPr>
          <w:rFonts w:ascii="Times New Roman" w:hAnsi="Times New Roman"/>
          <w:i/>
          <w:sz w:val="20"/>
          <w:szCs w:val="20"/>
        </w:rPr>
        <w:t xml:space="preserve"> со стабильным прогнозом. </w:t>
      </w:r>
      <w:proofErr w:type="spellStart"/>
      <w:r w:rsidRPr="004C1E7C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4C1E7C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4C1E7C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4C1E7C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4C1E7C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4C1E7C">
        <w:rPr>
          <w:rFonts w:ascii="Times New Roman" w:hAnsi="Times New Roman"/>
          <w:i/>
          <w:sz w:val="20"/>
          <w:szCs w:val="20"/>
          <w:lang w:val="en-US"/>
        </w:rPr>
        <w:t>B</w:t>
      </w:r>
      <w:r w:rsidR="00DB6CEF" w:rsidRPr="004C1E7C">
        <w:rPr>
          <w:rFonts w:ascii="Times New Roman" w:hAnsi="Times New Roman"/>
          <w:i/>
          <w:sz w:val="20"/>
          <w:szCs w:val="20"/>
        </w:rPr>
        <w:t xml:space="preserve">» с позитивным </w:t>
      </w:r>
      <w:r w:rsidRPr="004C1E7C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9" w:history="1">
        <w:r w:rsidR="00042ED2" w:rsidRPr="004C1E7C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4C1E7C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4C1E7C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4C1E7C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4C1E7C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AE288C" w:rsidRPr="004C1E7C" w:rsidRDefault="00AE288C" w:rsidP="00212BE4">
      <w:pPr>
        <w:tabs>
          <w:tab w:val="left" w:pos="709"/>
        </w:tabs>
        <w:autoSpaceDE w:val="0"/>
        <w:autoSpaceDN w:val="0"/>
        <w:adjustRightInd w:val="0"/>
        <w:ind w:firstLine="0"/>
        <w:rPr>
          <w:rFonts w:ascii="Times New Roman" w:hAnsi="Times New Roman"/>
          <w:b/>
          <w:sz w:val="24"/>
          <w:szCs w:val="24"/>
        </w:rPr>
      </w:pPr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4C1E7C">
        <w:rPr>
          <w:rFonts w:ascii="Times New Roman" w:hAnsi="Times New Roman"/>
          <w:b/>
          <w:sz w:val="24"/>
          <w:szCs w:val="24"/>
        </w:rPr>
        <w:lastRenderedPageBreak/>
        <w:t>Контакты  пресс-службы:</w:t>
      </w:r>
    </w:p>
    <w:p w:rsidR="00042ED2" w:rsidRPr="004C1E7C" w:rsidRDefault="004D2DDD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4C1E7C">
        <w:rPr>
          <w:rFonts w:ascii="Times New Roman" w:hAnsi="Times New Roman"/>
          <w:sz w:val="24"/>
          <w:szCs w:val="24"/>
        </w:rPr>
        <w:t>Ксения Парфё</w:t>
      </w:r>
      <w:r w:rsidR="00042ED2" w:rsidRPr="004C1E7C">
        <w:rPr>
          <w:rFonts w:ascii="Times New Roman" w:hAnsi="Times New Roman"/>
          <w:sz w:val="24"/>
          <w:szCs w:val="24"/>
        </w:rPr>
        <w:t>нова</w:t>
      </w:r>
    </w:p>
    <w:p w:rsidR="00042ED2" w:rsidRPr="004C1E7C" w:rsidRDefault="00EC51AE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0" w:history="1">
        <w:r w:rsidR="00042ED2" w:rsidRPr="004C1E7C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4C1E7C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4C1E7C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4C1E7C">
        <w:rPr>
          <w:rFonts w:ascii="Times New Roman" w:eastAsiaTheme="minorHAnsi" w:hAnsi="Times New Roman"/>
          <w:color w:val="808080"/>
          <w:sz w:val="24"/>
          <w:szCs w:val="24"/>
        </w:rPr>
        <w:t>. 275</w:t>
      </w:r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4C1E7C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4C1E7C" w:rsidRDefault="00EC51AE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hyperlink r:id="rId11" w:history="1">
        <w:r w:rsidR="00042ED2" w:rsidRPr="004C1E7C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4C1E7C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4C1E7C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4C1E7C">
        <w:rPr>
          <w:rFonts w:ascii="Times New Roman" w:eastAsiaTheme="minorHAnsi" w:hAnsi="Times New Roman"/>
          <w:color w:val="808080"/>
          <w:sz w:val="24"/>
          <w:szCs w:val="24"/>
        </w:rPr>
        <w:t>. 267</w:t>
      </w:r>
    </w:p>
    <w:sectPr w:rsidR="00042ED2" w:rsidRPr="004C1E7C" w:rsidSect="00DD3567">
      <w:headerReference w:type="default" r:id="rId12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9" w:rsidRDefault="00D06499" w:rsidP="007C7DE5">
      <w:r>
        <w:separator/>
      </w:r>
    </w:p>
  </w:endnote>
  <w:endnote w:type="continuationSeparator" w:id="0">
    <w:p w:rsidR="00D06499" w:rsidRDefault="00D06499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9" w:rsidRDefault="00D06499" w:rsidP="007C7DE5">
      <w:r>
        <w:separator/>
      </w:r>
    </w:p>
  </w:footnote>
  <w:footnote w:type="continuationSeparator" w:id="0">
    <w:p w:rsidR="00D06499" w:rsidRDefault="00D06499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99" w:rsidRDefault="00EC51AE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85pt;height:57.75pt">
          <v:imagedata r:id="rId1" o:title="Санкт-Петербург_бланк"/>
        </v:shape>
      </w:pict>
    </w:r>
  </w:p>
  <w:p w:rsidR="00D06499" w:rsidRDefault="00D06499">
    <w:pPr>
      <w:pStyle w:val="a3"/>
    </w:pPr>
  </w:p>
  <w:p w:rsidR="00D06499" w:rsidRDefault="00D0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781314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4355"/>
    <w:rsid w:val="00084CE7"/>
    <w:rsid w:val="00093626"/>
    <w:rsid w:val="00097623"/>
    <w:rsid w:val="000A6676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C2572"/>
    <w:rsid w:val="001C6589"/>
    <w:rsid w:val="001C6839"/>
    <w:rsid w:val="001D15AC"/>
    <w:rsid w:val="001D1922"/>
    <w:rsid w:val="001D486D"/>
    <w:rsid w:val="001D60B8"/>
    <w:rsid w:val="001E4974"/>
    <w:rsid w:val="001E4CBA"/>
    <w:rsid w:val="001E6F13"/>
    <w:rsid w:val="001F37EC"/>
    <w:rsid w:val="001F7E1E"/>
    <w:rsid w:val="00202865"/>
    <w:rsid w:val="00203E67"/>
    <w:rsid w:val="00206356"/>
    <w:rsid w:val="00212BE4"/>
    <w:rsid w:val="00214BFB"/>
    <w:rsid w:val="00220C35"/>
    <w:rsid w:val="00221682"/>
    <w:rsid w:val="002225F0"/>
    <w:rsid w:val="00223349"/>
    <w:rsid w:val="00224C07"/>
    <w:rsid w:val="00227367"/>
    <w:rsid w:val="00230281"/>
    <w:rsid w:val="00231E85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E71"/>
    <w:rsid w:val="002B6BA5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611F3"/>
    <w:rsid w:val="00364B4F"/>
    <w:rsid w:val="003659B7"/>
    <w:rsid w:val="003710FB"/>
    <w:rsid w:val="00374CF5"/>
    <w:rsid w:val="00375904"/>
    <w:rsid w:val="00375FCC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770D"/>
    <w:rsid w:val="003B4BB8"/>
    <w:rsid w:val="003C0DDF"/>
    <w:rsid w:val="003D1A2B"/>
    <w:rsid w:val="003D3219"/>
    <w:rsid w:val="003D3CE4"/>
    <w:rsid w:val="003D6B84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37D21"/>
    <w:rsid w:val="00443100"/>
    <w:rsid w:val="00444909"/>
    <w:rsid w:val="00450C9E"/>
    <w:rsid w:val="00454BCB"/>
    <w:rsid w:val="004612B5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948"/>
    <w:rsid w:val="004C1E7C"/>
    <w:rsid w:val="004C3AD0"/>
    <w:rsid w:val="004C4B60"/>
    <w:rsid w:val="004D2488"/>
    <w:rsid w:val="004D2DDD"/>
    <w:rsid w:val="004D54A7"/>
    <w:rsid w:val="004E2680"/>
    <w:rsid w:val="004E3DDE"/>
    <w:rsid w:val="004E6D89"/>
    <w:rsid w:val="004F7C81"/>
    <w:rsid w:val="00502028"/>
    <w:rsid w:val="00502694"/>
    <w:rsid w:val="00504BB1"/>
    <w:rsid w:val="00505235"/>
    <w:rsid w:val="005055F5"/>
    <w:rsid w:val="00505B6E"/>
    <w:rsid w:val="0051688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471"/>
    <w:rsid w:val="00537BEB"/>
    <w:rsid w:val="005405C2"/>
    <w:rsid w:val="005444A3"/>
    <w:rsid w:val="005518C7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90F42"/>
    <w:rsid w:val="00597500"/>
    <w:rsid w:val="005A0CDE"/>
    <w:rsid w:val="005A3CBA"/>
    <w:rsid w:val="005A64D8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13B7A"/>
    <w:rsid w:val="00615CE9"/>
    <w:rsid w:val="00621685"/>
    <w:rsid w:val="00623108"/>
    <w:rsid w:val="00627628"/>
    <w:rsid w:val="00633302"/>
    <w:rsid w:val="00637705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DB0"/>
    <w:rsid w:val="0069072E"/>
    <w:rsid w:val="00692735"/>
    <w:rsid w:val="00695A48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E5960"/>
    <w:rsid w:val="006F026B"/>
    <w:rsid w:val="006F0BAD"/>
    <w:rsid w:val="006F1350"/>
    <w:rsid w:val="006F23D4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685A"/>
    <w:rsid w:val="00726F98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D72"/>
    <w:rsid w:val="007F1AAC"/>
    <w:rsid w:val="007F1E4F"/>
    <w:rsid w:val="007F20F8"/>
    <w:rsid w:val="007F6169"/>
    <w:rsid w:val="007F641A"/>
    <w:rsid w:val="007F6BCB"/>
    <w:rsid w:val="0080063B"/>
    <w:rsid w:val="00805E9F"/>
    <w:rsid w:val="0080610A"/>
    <w:rsid w:val="008063B3"/>
    <w:rsid w:val="008078EE"/>
    <w:rsid w:val="008107D2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56404"/>
    <w:rsid w:val="00857923"/>
    <w:rsid w:val="00863612"/>
    <w:rsid w:val="00863C7C"/>
    <w:rsid w:val="008641D9"/>
    <w:rsid w:val="00865AFE"/>
    <w:rsid w:val="008672CA"/>
    <w:rsid w:val="0087037E"/>
    <w:rsid w:val="008720CF"/>
    <w:rsid w:val="0087450E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973D4"/>
    <w:rsid w:val="008A185E"/>
    <w:rsid w:val="008A1EED"/>
    <w:rsid w:val="008A61B2"/>
    <w:rsid w:val="008A6E89"/>
    <w:rsid w:val="008B27C5"/>
    <w:rsid w:val="008B4A5E"/>
    <w:rsid w:val="008B5A2C"/>
    <w:rsid w:val="008D2A0A"/>
    <w:rsid w:val="008D642F"/>
    <w:rsid w:val="008D7A70"/>
    <w:rsid w:val="008E794E"/>
    <w:rsid w:val="008F03CE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16D75"/>
    <w:rsid w:val="00920792"/>
    <w:rsid w:val="009217A5"/>
    <w:rsid w:val="00921C37"/>
    <w:rsid w:val="00924181"/>
    <w:rsid w:val="00933240"/>
    <w:rsid w:val="009437E2"/>
    <w:rsid w:val="009475AA"/>
    <w:rsid w:val="00951C95"/>
    <w:rsid w:val="00953442"/>
    <w:rsid w:val="00953A43"/>
    <w:rsid w:val="00953EE9"/>
    <w:rsid w:val="00954416"/>
    <w:rsid w:val="00974F0F"/>
    <w:rsid w:val="009765F4"/>
    <w:rsid w:val="00977A4A"/>
    <w:rsid w:val="00977AE6"/>
    <w:rsid w:val="00987176"/>
    <w:rsid w:val="009A028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E08BF"/>
    <w:rsid w:val="009E48CE"/>
    <w:rsid w:val="009E7C21"/>
    <w:rsid w:val="009F1682"/>
    <w:rsid w:val="009F37DC"/>
    <w:rsid w:val="009F3B81"/>
    <w:rsid w:val="00A10B70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63722"/>
    <w:rsid w:val="00A63BCC"/>
    <w:rsid w:val="00A65196"/>
    <w:rsid w:val="00A7043F"/>
    <w:rsid w:val="00A7201F"/>
    <w:rsid w:val="00A751E1"/>
    <w:rsid w:val="00A818FD"/>
    <w:rsid w:val="00A90700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88C"/>
    <w:rsid w:val="00AE2B09"/>
    <w:rsid w:val="00AE2B47"/>
    <w:rsid w:val="00AE3B93"/>
    <w:rsid w:val="00AE6084"/>
    <w:rsid w:val="00AF4820"/>
    <w:rsid w:val="00B001E8"/>
    <w:rsid w:val="00B00557"/>
    <w:rsid w:val="00B04D98"/>
    <w:rsid w:val="00B04FAC"/>
    <w:rsid w:val="00B07933"/>
    <w:rsid w:val="00B14B72"/>
    <w:rsid w:val="00B175C9"/>
    <w:rsid w:val="00B2049D"/>
    <w:rsid w:val="00B20717"/>
    <w:rsid w:val="00B25246"/>
    <w:rsid w:val="00B25315"/>
    <w:rsid w:val="00B342E5"/>
    <w:rsid w:val="00B36136"/>
    <w:rsid w:val="00B37A9A"/>
    <w:rsid w:val="00B37B58"/>
    <w:rsid w:val="00B402FA"/>
    <w:rsid w:val="00B47AEB"/>
    <w:rsid w:val="00B51517"/>
    <w:rsid w:val="00B52E0C"/>
    <w:rsid w:val="00B571EA"/>
    <w:rsid w:val="00B67789"/>
    <w:rsid w:val="00B67B8F"/>
    <w:rsid w:val="00B717DF"/>
    <w:rsid w:val="00B72EA7"/>
    <w:rsid w:val="00B741FA"/>
    <w:rsid w:val="00B75193"/>
    <w:rsid w:val="00B7759C"/>
    <w:rsid w:val="00B800F1"/>
    <w:rsid w:val="00B84327"/>
    <w:rsid w:val="00B926D6"/>
    <w:rsid w:val="00BA1EFE"/>
    <w:rsid w:val="00BA2D74"/>
    <w:rsid w:val="00BA5328"/>
    <w:rsid w:val="00BB22A5"/>
    <w:rsid w:val="00BB2724"/>
    <w:rsid w:val="00BB458E"/>
    <w:rsid w:val="00BB5E2C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2533E"/>
    <w:rsid w:val="00C259DB"/>
    <w:rsid w:val="00C26350"/>
    <w:rsid w:val="00C2692A"/>
    <w:rsid w:val="00C30725"/>
    <w:rsid w:val="00C34CF3"/>
    <w:rsid w:val="00C34E2C"/>
    <w:rsid w:val="00C413A5"/>
    <w:rsid w:val="00C43C7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621A"/>
    <w:rsid w:val="00C97261"/>
    <w:rsid w:val="00CA03DA"/>
    <w:rsid w:val="00CA0AF4"/>
    <w:rsid w:val="00CA4F26"/>
    <w:rsid w:val="00CA6221"/>
    <w:rsid w:val="00CB3155"/>
    <w:rsid w:val="00CB443D"/>
    <w:rsid w:val="00CC0803"/>
    <w:rsid w:val="00CC1242"/>
    <w:rsid w:val="00CC1897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AC2"/>
    <w:rsid w:val="00D00111"/>
    <w:rsid w:val="00D02672"/>
    <w:rsid w:val="00D06499"/>
    <w:rsid w:val="00D21135"/>
    <w:rsid w:val="00D22965"/>
    <w:rsid w:val="00D25509"/>
    <w:rsid w:val="00D32285"/>
    <w:rsid w:val="00D34ADD"/>
    <w:rsid w:val="00D35AE8"/>
    <w:rsid w:val="00D37A16"/>
    <w:rsid w:val="00D43046"/>
    <w:rsid w:val="00D43F86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9DE"/>
    <w:rsid w:val="00DA583C"/>
    <w:rsid w:val="00DB4291"/>
    <w:rsid w:val="00DB5F3E"/>
    <w:rsid w:val="00DB6BDF"/>
    <w:rsid w:val="00DB6CEF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E03582"/>
    <w:rsid w:val="00E03B6C"/>
    <w:rsid w:val="00E04CEB"/>
    <w:rsid w:val="00E05665"/>
    <w:rsid w:val="00E06ABD"/>
    <w:rsid w:val="00E1605A"/>
    <w:rsid w:val="00E17735"/>
    <w:rsid w:val="00E223E3"/>
    <w:rsid w:val="00E2351F"/>
    <w:rsid w:val="00E25C60"/>
    <w:rsid w:val="00E25D78"/>
    <w:rsid w:val="00E25FBE"/>
    <w:rsid w:val="00E26587"/>
    <w:rsid w:val="00E269B8"/>
    <w:rsid w:val="00E33E84"/>
    <w:rsid w:val="00E342D3"/>
    <w:rsid w:val="00E43763"/>
    <w:rsid w:val="00E43EC0"/>
    <w:rsid w:val="00E47F20"/>
    <w:rsid w:val="00E50C56"/>
    <w:rsid w:val="00E60007"/>
    <w:rsid w:val="00E60988"/>
    <w:rsid w:val="00E623B5"/>
    <w:rsid w:val="00E62D2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5B2B"/>
    <w:rsid w:val="00EA677D"/>
    <w:rsid w:val="00EA7759"/>
    <w:rsid w:val="00EB0355"/>
    <w:rsid w:val="00EB03EB"/>
    <w:rsid w:val="00EB1977"/>
    <w:rsid w:val="00EB2D61"/>
    <w:rsid w:val="00EB3CB3"/>
    <w:rsid w:val="00EC51AE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219E9"/>
    <w:rsid w:val="00F31A1E"/>
    <w:rsid w:val="00F33927"/>
    <w:rsid w:val="00F44F16"/>
    <w:rsid w:val="00F45F76"/>
    <w:rsid w:val="00F63007"/>
    <w:rsid w:val="00F64CBF"/>
    <w:rsid w:val="00F657EC"/>
    <w:rsid w:val="00F73023"/>
    <w:rsid w:val="00F73075"/>
    <w:rsid w:val="00F75CDB"/>
    <w:rsid w:val="00F7664A"/>
    <w:rsid w:val="00F7703B"/>
    <w:rsid w:val="00F80BDA"/>
    <w:rsid w:val="00F92817"/>
    <w:rsid w:val="00F92E9E"/>
    <w:rsid w:val="00F96514"/>
    <w:rsid w:val="00F975FC"/>
    <w:rsid w:val="00FA7E00"/>
    <w:rsid w:val="00FB12D2"/>
    <w:rsid w:val="00FB48E5"/>
    <w:rsid w:val="00FC4ABD"/>
    <w:rsid w:val="00FC643E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press/news/672289-obem-novogo-biznesa-baltiyskogo-lizinga-v-pervom-polugodii-2019-goda-vyros-na-27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kovskaya.A@baltlea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rfenova.K@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tlease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CD312-0BBF-4E97-B013-339AAA5B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354</cp:revision>
  <dcterms:created xsi:type="dcterms:W3CDTF">2018-07-26T07:30:00Z</dcterms:created>
  <dcterms:modified xsi:type="dcterms:W3CDTF">2019-09-17T09:50:00Z</dcterms:modified>
</cp:coreProperties>
</file>