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7E" w:rsidRPr="002A747E" w:rsidRDefault="002A747E" w:rsidP="002A747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A747E">
        <w:rPr>
          <w:rFonts w:ascii="Times New Roman" w:hAnsi="Times New Roman"/>
          <w:b/>
          <w:sz w:val="24"/>
          <w:szCs w:val="24"/>
        </w:rPr>
        <w:t xml:space="preserve">«Балтийский лизинг» вошел в топ-3 рынка в сегментах машиностроения и пищевой промышленности </w:t>
      </w:r>
    </w:p>
    <w:p w:rsidR="002A747E" w:rsidRPr="002A747E" w:rsidRDefault="00D0751B" w:rsidP="002A747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A747E">
        <w:rPr>
          <w:rFonts w:ascii="Times New Roman" w:hAnsi="Times New Roman"/>
          <w:b/>
          <w:sz w:val="24"/>
          <w:szCs w:val="24"/>
        </w:rPr>
        <w:t>С</w:t>
      </w:r>
      <w:r w:rsidR="00763043" w:rsidRPr="002A747E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2A747E" w:rsidRPr="002A747E">
        <w:rPr>
          <w:rFonts w:ascii="Times New Roman" w:hAnsi="Times New Roman"/>
          <w:b/>
          <w:sz w:val="24"/>
          <w:szCs w:val="24"/>
        </w:rPr>
        <w:t>7</w:t>
      </w:r>
      <w:r w:rsidR="005E6D26" w:rsidRPr="002A747E">
        <w:rPr>
          <w:rFonts w:ascii="Times New Roman" w:hAnsi="Times New Roman"/>
          <w:b/>
          <w:sz w:val="24"/>
          <w:szCs w:val="24"/>
        </w:rPr>
        <w:t xml:space="preserve"> апреля</w:t>
      </w:r>
      <w:r w:rsidR="000F62C2" w:rsidRPr="002A747E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2A747E">
        <w:rPr>
          <w:rFonts w:ascii="Times New Roman" w:hAnsi="Times New Roman"/>
          <w:b/>
          <w:sz w:val="24"/>
          <w:szCs w:val="24"/>
        </w:rPr>
        <w:t>2021</w:t>
      </w:r>
      <w:r w:rsidR="00763043" w:rsidRPr="002A747E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2A747E">
        <w:rPr>
          <w:rFonts w:ascii="Times New Roman" w:hAnsi="Times New Roman"/>
          <w:b/>
          <w:sz w:val="24"/>
          <w:szCs w:val="24"/>
        </w:rPr>
        <w:t>.</w:t>
      </w:r>
      <w:r w:rsidR="00A701F0" w:rsidRPr="002A747E">
        <w:rPr>
          <w:rFonts w:ascii="Times New Roman" w:hAnsi="Times New Roman"/>
          <w:sz w:val="24"/>
          <w:szCs w:val="24"/>
        </w:rPr>
        <w:t xml:space="preserve"> </w:t>
      </w:r>
      <w:r w:rsidR="002A747E" w:rsidRPr="002A747E">
        <w:rPr>
          <w:rFonts w:ascii="Times New Roman" w:hAnsi="Times New Roman"/>
          <w:sz w:val="24"/>
          <w:szCs w:val="24"/>
        </w:rPr>
        <w:t xml:space="preserve">По результатам исследования, проведенного агентством </w:t>
      </w:r>
      <w:hyperlink r:id="rId8" w:history="1">
        <w:r w:rsidR="002A747E" w:rsidRPr="002A747E">
          <w:rPr>
            <w:rStyle w:val="a9"/>
            <w:rFonts w:ascii="Times New Roman" w:hAnsi="Times New Roman"/>
            <w:sz w:val="24"/>
            <w:szCs w:val="24"/>
          </w:rPr>
          <w:t>«Эксперт РА»</w:t>
        </w:r>
      </w:hyperlink>
      <w:r w:rsidR="002A747E" w:rsidRPr="002A747E">
        <w:rPr>
          <w:rFonts w:ascii="Times New Roman" w:hAnsi="Times New Roman"/>
          <w:sz w:val="24"/>
          <w:szCs w:val="24"/>
        </w:rPr>
        <w:t xml:space="preserve">, «Балтийский лизинг» по итогам 2020 года вошел в топ-3 рейтинга ведущих компаний отрасли в сегментах машиностроительного, металлообрабатывающего и металлургического оборудования, а также оборудования для пищевой промышленности. Всего в </w:t>
      </w:r>
      <w:proofErr w:type="spellStart"/>
      <w:r w:rsidR="002A747E" w:rsidRPr="002A747E">
        <w:rPr>
          <w:rFonts w:ascii="Times New Roman" w:hAnsi="Times New Roman"/>
          <w:sz w:val="24"/>
          <w:szCs w:val="24"/>
        </w:rPr>
        <w:t>рэнкинг</w:t>
      </w:r>
      <w:proofErr w:type="spellEnd"/>
      <w:r w:rsidR="002A747E" w:rsidRPr="002A747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A747E" w:rsidRPr="002A747E">
        <w:rPr>
          <w:rFonts w:ascii="Times New Roman" w:hAnsi="Times New Roman"/>
          <w:sz w:val="24"/>
          <w:szCs w:val="24"/>
        </w:rPr>
        <w:t>составленный</w:t>
      </w:r>
      <w:proofErr w:type="gramEnd"/>
      <w:r w:rsidR="002A747E" w:rsidRPr="002A747E">
        <w:rPr>
          <w:rFonts w:ascii="Times New Roman" w:hAnsi="Times New Roman"/>
          <w:sz w:val="24"/>
          <w:szCs w:val="24"/>
        </w:rPr>
        <w:t xml:space="preserve"> аналитиками, вошли 129 российских лизингодателей.</w:t>
      </w:r>
    </w:p>
    <w:p w:rsidR="002A747E" w:rsidRPr="002A747E" w:rsidRDefault="002A747E" w:rsidP="002A747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A747E">
        <w:rPr>
          <w:rFonts w:ascii="Times New Roman" w:hAnsi="Times New Roman"/>
          <w:sz w:val="24"/>
          <w:szCs w:val="24"/>
        </w:rPr>
        <w:t xml:space="preserve">По итогам ранжирования «Балтийский лизинг» стал третьим в сегменте оборудования для металлургии, металлообработки и машиностроения, объем нового бизнеса (стоимость лизингового имущества без НДС) компании вырос на 70% к уровню 2019 года и составил 2,7 </w:t>
      </w:r>
      <w:proofErr w:type="spellStart"/>
      <w:proofErr w:type="gramStart"/>
      <w:r w:rsidRPr="002A747E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2A747E">
        <w:rPr>
          <w:rFonts w:ascii="Times New Roman" w:hAnsi="Times New Roman"/>
          <w:sz w:val="24"/>
          <w:szCs w:val="24"/>
        </w:rPr>
        <w:t xml:space="preserve"> рублей. Также, по данным анкетирования, организация заняла третье место в сегменте оборудования для пищевой промышленности, где новый бизнес достигнул 683 </w:t>
      </w:r>
      <w:proofErr w:type="spellStart"/>
      <w:proofErr w:type="gramStart"/>
      <w:r w:rsidRPr="002A747E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2A747E">
        <w:rPr>
          <w:rFonts w:ascii="Times New Roman" w:hAnsi="Times New Roman"/>
          <w:sz w:val="24"/>
          <w:szCs w:val="24"/>
        </w:rPr>
        <w:t xml:space="preserve"> рублей, показав рост 64% в сравнении с 2019 годом.</w:t>
      </w:r>
    </w:p>
    <w:p w:rsidR="002A747E" w:rsidRPr="002A747E" w:rsidRDefault="002A747E" w:rsidP="002A747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A747E">
        <w:rPr>
          <w:rFonts w:ascii="Times New Roman" w:hAnsi="Times New Roman"/>
          <w:sz w:val="24"/>
          <w:szCs w:val="24"/>
        </w:rPr>
        <w:t xml:space="preserve">«Балтийский лизинг» стабильно демонстрирует положительную динамику объема нового бизнеса в сегменте машиностроительного, металлообрабатывающего и металлургического оборудования. Накопленный многолетний опыт реализации различных проектов на рынке и партнерство с обширной базой поставщиков по всей России позволяют предлагать клиентам  современное оборудование на выгодных условиях. Программы компании дают возможность эффективно обновить мощности предприятия, что, в свою очередь, способствует росту индекса промышленного производства в масштабах страны.  </w:t>
      </w:r>
    </w:p>
    <w:p w:rsidR="002A747E" w:rsidRPr="002A747E" w:rsidRDefault="002A747E" w:rsidP="002A747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A747E">
        <w:rPr>
          <w:rFonts w:ascii="Times New Roman" w:hAnsi="Times New Roman"/>
          <w:sz w:val="24"/>
          <w:szCs w:val="24"/>
        </w:rPr>
        <w:t xml:space="preserve">Также «Балтийский лизинг» в 2020 году чаще, чем в 2019, финансировал для своих клиентов оборудование для пищевой промышленности. Этот сектор экономики развивался и продолжает развиваться очень динамично, по информации Минсельхоза РФ, по </w:t>
      </w:r>
      <w:r>
        <w:rPr>
          <w:rFonts w:ascii="Times New Roman" w:hAnsi="Times New Roman"/>
          <w:sz w:val="24"/>
          <w:szCs w:val="24"/>
        </w:rPr>
        <w:t>итогам прошлого года</w:t>
      </w:r>
      <w:r w:rsidRPr="002A747E">
        <w:rPr>
          <w:rFonts w:ascii="Times New Roman" w:hAnsi="Times New Roman"/>
          <w:sz w:val="24"/>
          <w:szCs w:val="24"/>
        </w:rPr>
        <w:t xml:space="preserve"> он </w:t>
      </w:r>
      <w:hyperlink r:id="rId9" w:history="1">
        <w:r w:rsidRPr="002A747E">
          <w:rPr>
            <w:rStyle w:val="a9"/>
            <w:rFonts w:ascii="Times New Roman" w:hAnsi="Times New Roman"/>
            <w:sz w:val="24"/>
            <w:szCs w:val="24"/>
          </w:rPr>
          <w:t>показал максимальный рост</w:t>
        </w:r>
      </w:hyperlink>
      <w:r w:rsidRPr="002A747E">
        <w:rPr>
          <w:rFonts w:ascii="Times New Roman" w:hAnsi="Times New Roman"/>
          <w:sz w:val="24"/>
          <w:szCs w:val="24"/>
        </w:rPr>
        <w:t xml:space="preserve">. В 2020 году компании массово подстраивались под новые реалии, меняли стратегию и формат работы, в </w:t>
      </w:r>
      <w:proofErr w:type="gramStart"/>
      <w:r w:rsidRPr="002A747E">
        <w:rPr>
          <w:rFonts w:ascii="Times New Roman" w:hAnsi="Times New Roman"/>
          <w:sz w:val="24"/>
          <w:szCs w:val="24"/>
        </w:rPr>
        <w:t>связи</w:t>
      </w:r>
      <w:proofErr w:type="gramEnd"/>
      <w:r w:rsidRPr="002A747E">
        <w:rPr>
          <w:rFonts w:ascii="Times New Roman" w:hAnsi="Times New Roman"/>
          <w:sz w:val="24"/>
          <w:szCs w:val="24"/>
        </w:rPr>
        <w:t xml:space="preserve"> с чем предприятия нуждались в модернизации фондов и дополнительном оборудовании. </w:t>
      </w:r>
    </w:p>
    <w:p w:rsidR="002A747E" w:rsidRPr="002A747E" w:rsidRDefault="002A747E" w:rsidP="002A747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A747E">
        <w:rPr>
          <w:rFonts w:ascii="Times New Roman" w:hAnsi="Times New Roman"/>
          <w:sz w:val="24"/>
          <w:szCs w:val="24"/>
        </w:rPr>
        <w:t xml:space="preserve">Напомним, что по итогам 2020 года объем нового бизнеса «Балтийского лизинга» превысил 65,19 </w:t>
      </w:r>
      <w:proofErr w:type="spellStart"/>
      <w:proofErr w:type="gramStart"/>
      <w:r w:rsidRPr="002A747E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2A747E">
        <w:rPr>
          <w:rFonts w:ascii="Times New Roman" w:hAnsi="Times New Roman"/>
          <w:sz w:val="24"/>
          <w:szCs w:val="24"/>
        </w:rPr>
        <w:t xml:space="preserve"> рублей, эта сумма </w:t>
      </w:r>
      <w:hyperlink r:id="rId10" w:history="1">
        <w:r w:rsidRPr="002A747E">
          <w:rPr>
            <w:rStyle w:val="a9"/>
            <w:rFonts w:ascii="Times New Roman" w:hAnsi="Times New Roman"/>
            <w:sz w:val="24"/>
            <w:szCs w:val="24"/>
          </w:rPr>
          <w:t>на 20,8% больше</w:t>
        </w:r>
      </w:hyperlink>
      <w:r w:rsidRPr="002A747E">
        <w:rPr>
          <w:rFonts w:ascii="Times New Roman" w:hAnsi="Times New Roman"/>
          <w:sz w:val="24"/>
          <w:szCs w:val="24"/>
        </w:rPr>
        <w:t xml:space="preserve">, чем в 2019 году. Всего за 2020 год компания заключила 21 419 сделок финансового и операционного лизинга, что на 8,8% больше, чем в предыдущем году. При этом объем портфеля по состоянию на 1 января 2021 года достиг 80,6 </w:t>
      </w:r>
      <w:proofErr w:type="spellStart"/>
      <w:proofErr w:type="gramStart"/>
      <w:r w:rsidRPr="002A747E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2A747E">
        <w:rPr>
          <w:rFonts w:ascii="Times New Roman" w:hAnsi="Times New Roman"/>
          <w:sz w:val="24"/>
          <w:szCs w:val="24"/>
        </w:rPr>
        <w:t xml:space="preserve"> рублей.</w:t>
      </w:r>
    </w:p>
    <w:p w:rsidR="001237E2" w:rsidRDefault="00BC47D2" w:rsidP="005A47F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1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6E056B" w:rsidP="000A6CD0">
      <w:pPr>
        <w:spacing w:after="240"/>
        <w:jc w:val="right"/>
      </w:pPr>
      <w:hyperlink r:id="rId12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lastRenderedPageBreak/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4380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692"/>
    <w:rsid w:val="004A5F23"/>
    <w:rsid w:val="004B075B"/>
    <w:rsid w:val="004B2749"/>
    <w:rsid w:val="004B35EC"/>
    <w:rsid w:val="004B40E4"/>
    <w:rsid w:val="004B4871"/>
    <w:rsid w:val="004B51FD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A10B70"/>
    <w:rsid w:val="00A1655F"/>
    <w:rsid w:val="00A2044B"/>
    <w:rsid w:val="00A20645"/>
    <w:rsid w:val="00A20872"/>
    <w:rsid w:val="00A21415"/>
    <w:rsid w:val="00A21B73"/>
    <w:rsid w:val="00A33D58"/>
    <w:rsid w:val="00A376A1"/>
    <w:rsid w:val="00A40398"/>
    <w:rsid w:val="00A419F8"/>
    <w:rsid w:val="00A42105"/>
    <w:rsid w:val="00A45380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expert.ru/researches/leasing/2020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ltlease.ru/press/news/2220687-obem-novogo-biznesa-baltiyskogo-lizinga-za-god-vyros-na-20-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lin.ru/events/president/news/6527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60DFB-4FBE-4BE6-8E8C-F90AE3B6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548</cp:revision>
  <dcterms:created xsi:type="dcterms:W3CDTF">2018-07-26T07:30:00Z</dcterms:created>
  <dcterms:modified xsi:type="dcterms:W3CDTF">2021-04-07T12:05:00Z</dcterms:modified>
</cp:coreProperties>
</file>