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D88" w:rsidRDefault="007E1D88" w:rsidP="003521E5">
      <w:pPr>
        <w:pStyle w:val="NoSpacing"/>
      </w:pPr>
    </w:p>
    <w:p w:rsidR="007E1D88" w:rsidRDefault="007E1D88" w:rsidP="003521E5">
      <w:pPr>
        <w:pStyle w:val="NoSpacing"/>
        <w:rPr>
          <w:b/>
          <w:bCs/>
          <w:lang w:val="en-US"/>
        </w:rPr>
      </w:pPr>
    </w:p>
    <w:p w:rsidR="007E1D88" w:rsidRDefault="007E1D88" w:rsidP="003521E5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</w:p>
    <w:p w:rsidR="007E1D88" w:rsidRDefault="007E1D88" w:rsidP="003521E5">
      <w:pPr>
        <w:pStyle w:val="NoSpacing"/>
        <w:rPr>
          <w:b/>
          <w:bCs/>
        </w:rPr>
      </w:pPr>
    </w:p>
    <w:p w:rsidR="007E1D88" w:rsidRDefault="007E1D88" w:rsidP="003521E5">
      <w:pPr>
        <w:pStyle w:val="NoSpacing"/>
        <w:rPr>
          <w:b/>
          <w:bCs/>
        </w:rPr>
      </w:pPr>
    </w:p>
    <w:p w:rsidR="007E1D88" w:rsidRDefault="007E1D88" w:rsidP="003521E5">
      <w:pPr>
        <w:pStyle w:val="NoSpacing"/>
        <w:rPr>
          <w:b/>
          <w:bCs/>
        </w:rPr>
      </w:pPr>
    </w:p>
    <w:p w:rsidR="007E1D88" w:rsidRPr="00595F9F" w:rsidRDefault="007E1D88" w:rsidP="003521E5">
      <w:pPr>
        <w:pStyle w:val="NoSpacing"/>
        <w:rPr>
          <w:b/>
          <w:bCs/>
        </w:rPr>
      </w:pPr>
      <w:r w:rsidRPr="00630BB0">
        <w:rPr>
          <w:b/>
          <w:bCs/>
        </w:rPr>
        <w:t>23</w:t>
      </w:r>
      <w:r>
        <w:rPr>
          <w:b/>
          <w:bCs/>
        </w:rPr>
        <w:t xml:space="preserve"> июля 2014 года</w:t>
      </w:r>
      <w:r>
        <w:rPr>
          <w:b/>
          <w:bCs/>
        </w:rPr>
        <w:tab/>
        <w:t xml:space="preserve">                                 </w:t>
      </w:r>
      <w:r>
        <w:rPr>
          <w:b/>
          <w:bCs/>
        </w:rPr>
        <w:tab/>
      </w:r>
      <w:r>
        <w:rPr>
          <w:b/>
          <w:bCs/>
        </w:rPr>
        <w:tab/>
        <w:t xml:space="preserve">               </w:t>
      </w:r>
      <w:r w:rsidRPr="00595F9F">
        <w:rPr>
          <w:b/>
          <w:bCs/>
        </w:rPr>
        <w:t>ПРЕСС-РЕЛИЗ</w:t>
      </w:r>
    </w:p>
    <w:p w:rsidR="007E1D88" w:rsidRDefault="007E1D88" w:rsidP="0007785F">
      <w:pPr>
        <w:pStyle w:val="Heading1"/>
        <w:ind w:firstLine="708"/>
        <w:jc w:val="center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«Белая скважина» показывает первые результаты</w:t>
      </w:r>
    </w:p>
    <w:p w:rsidR="007E1D88" w:rsidRPr="002F5FEA" w:rsidRDefault="007E1D88" w:rsidP="0007785F"/>
    <w:p w:rsidR="007E1D88" w:rsidRPr="00630BB0" w:rsidRDefault="007E1D88" w:rsidP="0007785F">
      <w:pPr>
        <w:ind w:firstLine="709"/>
        <w:jc w:val="both"/>
        <w:rPr>
          <w:rFonts w:ascii="Arial" w:hAnsi="Arial" w:cs="Arial"/>
          <w:b/>
          <w:bCs/>
          <w:kern w:val="36"/>
          <w:sz w:val="24"/>
          <w:szCs w:val="24"/>
        </w:rPr>
      </w:pPr>
      <w:r>
        <w:rPr>
          <w:rFonts w:ascii="Arial" w:hAnsi="Arial" w:cs="Arial"/>
          <w:b/>
          <w:bCs/>
          <w:kern w:val="36"/>
          <w:sz w:val="24"/>
          <w:szCs w:val="24"/>
        </w:rPr>
        <w:t>Оборудование, изготовленное в рамках проекта группы ЧТПЗ «Белая скважина», продолжает работать без сбоев на осложненном фонде «Томскнефти».</w:t>
      </w:r>
    </w:p>
    <w:p w:rsidR="007E1D88" w:rsidRPr="00630BB0" w:rsidRDefault="007E1D88" w:rsidP="0007785F">
      <w:pPr>
        <w:ind w:firstLine="709"/>
        <w:jc w:val="both"/>
        <w:rPr>
          <w:rFonts w:ascii="Arial" w:hAnsi="Arial" w:cs="Arial"/>
          <w:b/>
          <w:bCs/>
          <w:kern w:val="36"/>
          <w:sz w:val="24"/>
          <w:szCs w:val="24"/>
        </w:rPr>
      </w:pPr>
    </w:p>
    <w:p w:rsidR="007E1D88" w:rsidRPr="00CF0730" w:rsidRDefault="007E1D88" w:rsidP="0007785F">
      <w:pPr>
        <w:ind w:firstLine="709"/>
        <w:jc w:val="both"/>
        <w:rPr>
          <w:rFonts w:ascii="Arial" w:hAnsi="Arial" w:cs="Arial"/>
          <w:kern w:val="36"/>
          <w:sz w:val="24"/>
          <w:szCs w:val="24"/>
        </w:rPr>
      </w:pPr>
      <w:r>
        <w:rPr>
          <w:rFonts w:ascii="Arial" w:hAnsi="Arial" w:cs="Arial"/>
          <w:kern w:val="36"/>
          <w:sz w:val="24"/>
          <w:szCs w:val="24"/>
        </w:rPr>
        <w:t>Уровень наработки на отказ (ННО) в одной из скважин компании «Томскнефть» превысил 365 суток. Оборудование, поставленное в рамках проекта «Белая скважина» достигло данного уровня наработки при сохранении заявленных параметров работы.</w:t>
      </w:r>
    </w:p>
    <w:p w:rsidR="007E1D88" w:rsidRPr="00CF0730" w:rsidRDefault="007E1D88" w:rsidP="0007785F">
      <w:pPr>
        <w:ind w:firstLine="709"/>
        <w:jc w:val="both"/>
        <w:rPr>
          <w:rFonts w:ascii="Arial" w:hAnsi="Arial" w:cs="Arial"/>
          <w:kern w:val="36"/>
          <w:sz w:val="24"/>
          <w:szCs w:val="24"/>
        </w:rPr>
      </w:pPr>
    </w:p>
    <w:p w:rsidR="007E1D88" w:rsidRPr="00630BB0" w:rsidRDefault="007E1D88" w:rsidP="0007785F">
      <w:pPr>
        <w:ind w:firstLine="709"/>
        <w:jc w:val="both"/>
        <w:rPr>
          <w:rFonts w:ascii="Arial" w:hAnsi="Arial" w:cs="Arial"/>
          <w:kern w:val="36"/>
          <w:sz w:val="24"/>
          <w:szCs w:val="24"/>
        </w:rPr>
      </w:pPr>
      <w:r>
        <w:rPr>
          <w:rFonts w:ascii="Arial" w:hAnsi="Arial" w:cs="Arial"/>
          <w:kern w:val="36"/>
          <w:sz w:val="24"/>
          <w:szCs w:val="24"/>
        </w:rPr>
        <w:t>Таким образом, оборудование продемонстрировало увеличение показателя ННО более чем в 3 раза на данной скважине (Северное месторождение, скважина 254, куст 2). Ранее средний показатель ННО составлял 120 суток. Скважина осложнена коррозией и механическими примесями.</w:t>
      </w:r>
    </w:p>
    <w:p w:rsidR="007E1D88" w:rsidRPr="00630BB0" w:rsidRDefault="007E1D88" w:rsidP="0007785F">
      <w:pPr>
        <w:ind w:firstLine="709"/>
        <w:jc w:val="both"/>
        <w:rPr>
          <w:rFonts w:ascii="Arial" w:hAnsi="Arial" w:cs="Arial"/>
          <w:kern w:val="36"/>
          <w:sz w:val="24"/>
          <w:szCs w:val="24"/>
        </w:rPr>
      </w:pPr>
    </w:p>
    <w:p w:rsidR="007E1D88" w:rsidRPr="00412EE4" w:rsidRDefault="007E1D88" w:rsidP="0007785F">
      <w:pPr>
        <w:ind w:firstLine="709"/>
        <w:jc w:val="both"/>
        <w:rPr>
          <w:rFonts w:ascii="Arial" w:hAnsi="Arial" w:cs="Arial"/>
          <w:kern w:val="36"/>
          <w:sz w:val="24"/>
          <w:szCs w:val="24"/>
        </w:rPr>
      </w:pPr>
      <w:r>
        <w:rPr>
          <w:rFonts w:ascii="Arial" w:hAnsi="Arial" w:cs="Arial"/>
          <w:kern w:val="36"/>
          <w:sz w:val="24"/>
          <w:szCs w:val="24"/>
        </w:rPr>
        <w:t>В состав подобранного под данные условия специалистами «Римеры» оборудования, поставленного в рамках проекта «Белая скважина», вошли насосно-компрессорные трубы (НКТ), произведенные на Первоуральском новотрубном заводе (входит в группу ЧТПЗ), а также современный коррозионно- и износостойкий  насос</w:t>
      </w:r>
      <w:r w:rsidRPr="000B5D26">
        <w:rPr>
          <w:rFonts w:ascii="Arial" w:hAnsi="Arial" w:cs="Arial"/>
          <w:kern w:val="36"/>
          <w:sz w:val="24"/>
          <w:szCs w:val="24"/>
        </w:rPr>
        <w:t xml:space="preserve"> </w:t>
      </w:r>
      <w:r>
        <w:rPr>
          <w:rFonts w:ascii="Arial" w:hAnsi="Arial" w:cs="Arial"/>
          <w:kern w:val="36"/>
          <w:sz w:val="24"/>
          <w:szCs w:val="24"/>
        </w:rPr>
        <w:t>компрессионной схемы сборки, произведенный на альметьевском предприятии группы «Римера», заводе «Алнас». Подвеска НКТ изготовлена из марки стали с содержанием хрома 3%.</w:t>
      </w:r>
    </w:p>
    <w:p w:rsidR="007E1D88" w:rsidRPr="00412EE4" w:rsidRDefault="007E1D88" w:rsidP="0007785F">
      <w:pPr>
        <w:ind w:firstLine="709"/>
        <w:jc w:val="both"/>
        <w:rPr>
          <w:rFonts w:ascii="Arial" w:hAnsi="Arial" w:cs="Arial"/>
          <w:kern w:val="36"/>
          <w:sz w:val="24"/>
          <w:szCs w:val="24"/>
        </w:rPr>
      </w:pPr>
    </w:p>
    <w:p w:rsidR="007E1D88" w:rsidRPr="00CF0730" w:rsidRDefault="007E1D88" w:rsidP="0007785F">
      <w:pPr>
        <w:ind w:firstLine="709"/>
        <w:jc w:val="both"/>
        <w:rPr>
          <w:rFonts w:ascii="Arial" w:hAnsi="Arial" w:cs="Arial"/>
          <w:kern w:val="36"/>
          <w:sz w:val="24"/>
          <w:szCs w:val="24"/>
        </w:rPr>
      </w:pPr>
      <w:r w:rsidRPr="00B1738E">
        <w:rPr>
          <w:rFonts w:ascii="Arial" w:hAnsi="Arial" w:cs="Arial"/>
          <w:kern w:val="36"/>
          <w:sz w:val="24"/>
          <w:szCs w:val="24"/>
        </w:rPr>
        <w:t xml:space="preserve"> «За счет эффективного подбора, производства и сервиса специальных комплектов электропогружного оборудования и насосно-компрессорных труб под осложненный фонд скважин, обеспечивается синхронное увеличение наработки на отказ по всей подземной части. Это позволяет снизить количество спускоподъёмных операций и ремонтов и сопутствующие им затраты, и соответственно - увеличить добычу. Часть финансовых рисков при реализации проекта «Белая скважина», являющимся новым стандартом нефтесервиса, берет на себя «Римера». Это связано с опытно-промышленной эксплуатацией оборудования, поставляемого в рамках проекта, а также выгодной для клиентов схемой оплаты только за результат», - отмечает особенности «Белой скважины» </w:t>
      </w:r>
      <w:r>
        <w:rPr>
          <w:rFonts w:ascii="Arial" w:hAnsi="Arial" w:cs="Arial"/>
          <w:kern w:val="36"/>
          <w:sz w:val="24"/>
          <w:szCs w:val="24"/>
        </w:rPr>
        <w:t>коммерческий директор группы компаний «Римера» Константин Самсонов</w:t>
      </w:r>
      <w:r w:rsidRPr="00B1738E">
        <w:rPr>
          <w:rFonts w:ascii="Arial" w:hAnsi="Arial" w:cs="Arial"/>
          <w:kern w:val="36"/>
          <w:sz w:val="24"/>
          <w:szCs w:val="24"/>
        </w:rPr>
        <w:t xml:space="preserve">. </w:t>
      </w:r>
    </w:p>
    <w:p w:rsidR="007E1D88" w:rsidRPr="00CF0730" w:rsidRDefault="007E1D88" w:rsidP="0007785F">
      <w:pPr>
        <w:ind w:firstLine="709"/>
        <w:jc w:val="both"/>
        <w:rPr>
          <w:rFonts w:ascii="Arial" w:hAnsi="Arial" w:cs="Arial"/>
          <w:kern w:val="36"/>
          <w:sz w:val="24"/>
          <w:szCs w:val="24"/>
        </w:rPr>
      </w:pPr>
    </w:p>
    <w:p w:rsidR="007E1D88" w:rsidRPr="00CF0730" w:rsidRDefault="007E1D88" w:rsidP="0007785F">
      <w:pPr>
        <w:ind w:firstLine="709"/>
        <w:jc w:val="both"/>
        <w:rPr>
          <w:rFonts w:ascii="Arial" w:hAnsi="Arial" w:cs="Arial"/>
          <w:kern w:val="36"/>
          <w:sz w:val="24"/>
          <w:szCs w:val="24"/>
        </w:rPr>
      </w:pPr>
      <w:r>
        <w:rPr>
          <w:rFonts w:ascii="Arial" w:hAnsi="Arial" w:cs="Arial"/>
          <w:kern w:val="36"/>
          <w:sz w:val="24"/>
          <w:szCs w:val="24"/>
        </w:rPr>
        <w:t>Кроме данной скважины, в «Томскнефти» продолжает работу еще один комплект оборудования, на сегодняшний день наработка близка к 1 году стабильной работы. Также проект реализуется на двух скважинах компании «ЛУКОЙЛ-Западная Сибирь», где уровень ННО превышает стандартный показатель более чем на 30%.</w:t>
      </w:r>
    </w:p>
    <w:p w:rsidR="007E1D88" w:rsidRDefault="007E1D88" w:rsidP="0007785F">
      <w:pPr>
        <w:ind w:firstLine="709"/>
        <w:jc w:val="both"/>
        <w:rPr>
          <w:rFonts w:ascii="Arial" w:hAnsi="Arial" w:cs="Arial"/>
          <w:kern w:val="36"/>
          <w:sz w:val="24"/>
          <w:szCs w:val="24"/>
        </w:rPr>
      </w:pPr>
    </w:p>
    <w:p w:rsidR="007E1D88" w:rsidRPr="00CF0730" w:rsidRDefault="007E1D88" w:rsidP="0007785F">
      <w:pPr>
        <w:ind w:firstLine="709"/>
        <w:jc w:val="both"/>
        <w:rPr>
          <w:rFonts w:ascii="Arial" w:hAnsi="Arial" w:cs="Arial"/>
          <w:kern w:val="36"/>
          <w:sz w:val="24"/>
          <w:szCs w:val="24"/>
        </w:rPr>
      </w:pPr>
    </w:p>
    <w:p w:rsidR="007E1D88" w:rsidRDefault="007E1D88" w:rsidP="0007785F">
      <w:pPr>
        <w:jc w:val="both"/>
        <w:outlineLvl w:val="0"/>
        <w:rPr>
          <w:rFonts w:ascii="Arial" w:hAnsi="Arial" w:cs="Arial"/>
          <w:b/>
          <w:bCs/>
          <w:i/>
          <w:iCs/>
          <w:sz w:val="18"/>
          <w:szCs w:val="18"/>
          <w:lang w:eastAsia="ar-SA"/>
        </w:rPr>
      </w:pPr>
      <w:r>
        <w:rPr>
          <w:rFonts w:ascii="Arial" w:hAnsi="Arial" w:cs="Arial"/>
          <w:b/>
          <w:bCs/>
          <w:i/>
          <w:iCs/>
          <w:sz w:val="18"/>
          <w:szCs w:val="18"/>
          <w:lang w:eastAsia="ar-SA"/>
        </w:rPr>
        <w:t>Справка</w:t>
      </w:r>
      <w:r w:rsidRPr="0069074F">
        <w:rPr>
          <w:rFonts w:ascii="Arial" w:hAnsi="Arial" w:cs="Arial"/>
          <w:b/>
          <w:bCs/>
          <w:i/>
          <w:iCs/>
          <w:sz w:val="18"/>
          <w:szCs w:val="18"/>
          <w:lang w:eastAsia="ar-SA"/>
        </w:rPr>
        <w:t>:</w:t>
      </w:r>
    </w:p>
    <w:p w:rsidR="007E1D88" w:rsidRPr="000F7611" w:rsidRDefault="007E1D88" w:rsidP="0007785F">
      <w:pPr>
        <w:ind w:firstLine="708"/>
        <w:jc w:val="both"/>
        <w:outlineLvl w:val="0"/>
        <w:rPr>
          <w:rFonts w:ascii="Arial" w:hAnsi="Arial" w:cs="Arial"/>
          <w:i/>
          <w:iCs/>
          <w:sz w:val="18"/>
          <w:szCs w:val="18"/>
          <w:lang w:eastAsia="ar-SA"/>
        </w:rPr>
      </w:pPr>
      <w:r w:rsidRPr="000F7611">
        <w:rPr>
          <w:rFonts w:ascii="Arial" w:hAnsi="Arial" w:cs="Arial"/>
          <w:b/>
          <w:bCs/>
          <w:i/>
          <w:iCs/>
          <w:sz w:val="18"/>
          <w:szCs w:val="18"/>
          <w:lang w:eastAsia="ar-SA"/>
        </w:rPr>
        <w:t xml:space="preserve">Проект «Белая скважина» </w:t>
      </w:r>
      <w:r w:rsidRPr="005C443E">
        <w:rPr>
          <w:rFonts w:ascii="Arial" w:hAnsi="Arial" w:cs="Arial"/>
          <w:i/>
          <w:iCs/>
          <w:sz w:val="18"/>
          <w:szCs w:val="18"/>
          <w:lang w:val="cs-CZ"/>
        </w:rPr>
        <w:t>–</w:t>
      </w:r>
      <w:r w:rsidRPr="000F7611">
        <w:rPr>
          <w:rFonts w:ascii="Arial" w:hAnsi="Arial" w:cs="Arial"/>
          <w:b/>
          <w:bCs/>
          <w:i/>
          <w:iCs/>
          <w:sz w:val="18"/>
          <w:szCs w:val="18"/>
          <w:lang w:eastAsia="ar-SA"/>
        </w:rPr>
        <w:t xml:space="preserve"> </w:t>
      </w:r>
      <w:r>
        <w:rPr>
          <w:rFonts w:ascii="Arial" w:hAnsi="Arial" w:cs="Arial"/>
          <w:b/>
          <w:bCs/>
          <w:i/>
          <w:iCs/>
          <w:sz w:val="18"/>
          <w:szCs w:val="18"/>
          <w:lang w:eastAsia="ar-SA"/>
        </w:rPr>
        <w:t xml:space="preserve">реализуется совместно предприятиями трубного и нефтесервисного дивизионов группы ЧТПЗ и предусматривает </w:t>
      </w:r>
      <w:r w:rsidRPr="000F7611">
        <w:rPr>
          <w:rFonts w:ascii="Arial" w:hAnsi="Arial" w:cs="Arial"/>
          <w:i/>
          <w:iCs/>
          <w:sz w:val="18"/>
          <w:szCs w:val="18"/>
          <w:lang w:eastAsia="ar-SA"/>
        </w:rPr>
        <w:t>индивидуальные решения для нефтедобывающих компаний, позволяет достичь экономии при обслуживании скважин на осложненном фонде за счет  подбора  и специального  исполнения НКТ и насосов.  Позволяет обеспечить  равноресурсную работу всей подвески, снижение количества отказов, вызванных выходом из строя одного из элементов погружного оборудования, увеличение межремонтного периода и наработки на отказ.</w:t>
      </w:r>
    </w:p>
    <w:p w:rsidR="007E1D88" w:rsidRDefault="007E1D88" w:rsidP="0007785F">
      <w:pPr>
        <w:pStyle w:val="1"/>
        <w:ind w:firstLine="709"/>
        <w:jc w:val="both"/>
        <w:rPr>
          <w:rFonts w:ascii="Arial" w:hAnsi="Arial" w:cs="Arial"/>
          <w:i/>
          <w:iCs/>
          <w:spacing w:val="0"/>
          <w:sz w:val="18"/>
          <w:szCs w:val="18"/>
        </w:rPr>
      </w:pPr>
      <w:r w:rsidRPr="00352E7C">
        <w:rPr>
          <w:rFonts w:ascii="Arial" w:hAnsi="Arial" w:cs="Arial"/>
          <w:b/>
          <w:bCs/>
          <w:i/>
          <w:iCs/>
          <w:spacing w:val="0"/>
          <w:sz w:val="18"/>
          <w:szCs w:val="18"/>
          <w:lang w:val="cs-CZ"/>
        </w:rPr>
        <w:t>Группа компаний «Римера»</w:t>
      </w:r>
      <w:r w:rsidRPr="005C443E">
        <w:rPr>
          <w:rFonts w:ascii="Arial" w:hAnsi="Arial" w:cs="Arial"/>
          <w:i/>
          <w:iCs/>
          <w:spacing w:val="0"/>
          <w:sz w:val="18"/>
          <w:szCs w:val="18"/>
          <w:lang w:val="cs-CZ"/>
        </w:rPr>
        <w:t xml:space="preserve"> - дивизион ЧТПЗ, предлагающий предприятиям ТЭК комплексные решения по производству оборудования и сервисные услуги по обустройству месторождений. Группа  объединяет: производителей  комплектующих для строительства трубопроводов  (ЗАО «СОТ», MSA a.s);  предприятия российского нефтяного машиностроения (ОАО «АЛНАС» и ОАО «Ижнефтемаш»);  сеть сервисных центров, расположенных в крупнейших нефтедобывающих регионах России. В состав ГК «Римера» также входит  «Юганскнефтегазгеофизика» – ключевой  игрок  на рынке геофизических услуг в Ханты-Мансийском автономном округе и Томской области</w:t>
      </w:r>
      <w:r w:rsidRPr="00BF4BAF">
        <w:rPr>
          <w:rFonts w:ascii="Arial" w:hAnsi="Arial" w:cs="Arial"/>
          <w:i/>
          <w:iCs/>
          <w:spacing w:val="0"/>
          <w:sz w:val="18"/>
          <w:szCs w:val="18"/>
          <w:lang w:val="cs-CZ"/>
        </w:rPr>
        <w:t>.</w:t>
      </w:r>
    </w:p>
    <w:p w:rsidR="007E1D88" w:rsidRPr="005C443E" w:rsidRDefault="007E1D88" w:rsidP="00412EE4">
      <w:pPr>
        <w:pStyle w:val="1"/>
        <w:jc w:val="both"/>
        <w:rPr>
          <w:rFonts w:ascii="Arial" w:hAnsi="Arial" w:cs="Arial"/>
          <w:i/>
          <w:iCs/>
          <w:spacing w:val="0"/>
          <w:sz w:val="18"/>
          <w:szCs w:val="18"/>
        </w:rPr>
      </w:pPr>
    </w:p>
    <w:p w:rsidR="007E1D88" w:rsidRPr="000F7611" w:rsidRDefault="007E1D88" w:rsidP="0007785F">
      <w:pPr>
        <w:ind w:firstLine="708"/>
        <w:jc w:val="both"/>
        <w:rPr>
          <w:sz w:val="28"/>
          <w:szCs w:val="28"/>
          <w:lang w:val="cs-CZ"/>
        </w:rPr>
      </w:pPr>
      <w:r w:rsidRPr="000F7611">
        <w:rPr>
          <w:rFonts w:ascii="Arial" w:hAnsi="Arial" w:cs="Arial"/>
          <w:b/>
          <w:bCs/>
          <w:i/>
          <w:iCs/>
          <w:sz w:val="18"/>
          <w:szCs w:val="18"/>
          <w:lang w:eastAsia="ar-SA"/>
        </w:rPr>
        <w:t xml:space="preserve">Группа ЧТПЗ </w:t>
      </w:r>
      <w:r w:rsidRPr="000F7611">
        <w:rPr>
          <w:rFonts w:ascii="Arial" w:hAnsi="Arial" w:cs="Arial"/>
          <w:i/>
          <w:iCs/>
          <w:sz w:val="18"/>
          <w:szCs w:val="18"/>
          <w:lang w:eastAsia="ar-SA"/>
        </w:rPr>
        <w:t>является одной из ведущих промышленных групп металлургического комплекса России. По итогам 2013 года доля компании в совокупных отгрузках российских трубных производителей составила 16,2%. Компания ЧТПЗ объединяет предприятия и компании черной металлургии – ОАО «Челябинский трубопрокатный завод», ОАО «Первоуральский новотрубный завод», компанию по заготовке и переработке металлолома «МЕТА», металлоторговое подразделение ТД «Уралтрубосталь» и нефтесервисный дивизион, представленный группой компаний  «Римера».</w:t>
      </w:r>
    </w:p>
    <w:p w:rsidR="007E1D88" w:rsidRDefault="007E1D88" w:rsidP="0007785F">
      <w:pPr>
        <w:rPr>
          <w:sz w:val="28"/>
          <w:szCs w:val="28"/>
        </w:rPr>
      </w:pPr>
      <w:bookmarkStart w:id="0" w:name="_GoBack"/>
      <w:bookmarkEnd w:id="0"/>
    </w:p>
    <w:p w:rsidR="007E1D88" w:rsidRPr="00823C79" w:rsidRDefault="007E1D88" w:rsidP="0007785F">
      <w:pPr>
        <w:rPr>
          <w:rFonts w:ascii="Arial" w:hAnsi="Arial" w:cs="Arial"/>
          <w:sz w:val="24"/>
          <w:szCs w:val="24"/>
          <w:lang w:eastAsia="ar-SA"/>
        </w:rPr>
      </w:pPr>
    </w:p>
    <w:p w:rsidR="007E1D88" w:rsidRPr="001F610C" w:rsidRDefault="007E1D88" w:rsidP="00C244E0">
      <w:pPr>
        <w:pStyle w:val="NoSpacing"/>
        <w:jc w:val="right"/>
        <w:rPr>
          <w:i/>
          <w:iCs/>
        </w:rPr>
      </w:pPr>
      <w:r>
        <w:rPr>
          <w:i/>
          <w:iCs/>
        </w:rPr>
        <w:t>менеджер</w:t>
      </w:r>
      <w:r w:rsidRPr="001F610C">
        <w:rPr>
          <w:i/>
          <w:iCs/>
        </w:rPr>
        <w:t xml:space="preserve"> по связям с общественностью</w:t>
      </w:r>
    </w:p>
    <w:p w:rsidR="007E1D88" w:rsidRPr="001F610C" w:rsidRDefault="007E1D88" w:rsidP="00C244E0">
      <w:pPr>
        <w:pStyle w:val="NoSpacing"/>
        <w:jc w:val="right"/>
        <w:rPr>
          <w:i/>
          <w:iCs/>
        </w:rPr>
      </w:pPr>
      <w:r w:rsidRPr="001F610C">
        <w:rPr>
          <w:i/>
          <w:iCs/>
        </w:rPr>
        <w:t xml:space="preserve">ОАО «ЧТПЗ» </w:t>
      </w:r>
    </w:p>
    <w:p w:rsidR="007E1D88" w:rsidRPr="001F610C" w:rsidRDefault="007E1D88" w:rsidP="00C244E0">
      <w:pPr>
        <w:pStyle w:val="NoSpacing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Лидия Хазова</w:t>
      </w:r>
    </w:p>
    <w:p w:rsidR="007E1D88" w:rsidRPr="001F610C" w:rsidRDefault="007E1D88" w:rsidP="00C244E0">
      <w:pPr>
        <w:pStyle w:val="NoSpacing"/>
        <w:jc w:val="right"/>
        <w:rPr>
          <w:b/>
          <w:bCs/>
          <w:i/>
          <w:iCs/>
        </w:rPr>
      </w:pPr>
      <w:r w:rsidRPr="001F610C">
        <w:rPr>
          <w:b/>
          <w:bCs/>
          <w:i/>
          <w:iCs/>
        </w:rPr>
        <w:t xml:space="preserve">тел. </w:t>
      </w:r>
      <w:r>
        <w:rPr>
          <w:b/>
          <w:bCs/>
          <w:i/>
          <w:iCs/>
        </w:rPr>
        <w:t>8(495)775-35-55</w:t>
      </w:r>
      <w:r w:rsidRPr="001F610C">
        <w:rPr>
          <w:b/>
          <w:bCs/>
          <w:i/>
          <w:iCs/>
        </w:rPr>
        <w:t xml:space="preserve">; </w:t>
      </w:r>
      <w:r>
        <w:rPr>
          <w:b/>
          <w:bCs/>
          <w:i/>
          <w:iCs/>
        </w:rPr>
        <w:t>моб. 8(916)590-15-30</w:t>
      </w:r>
    </w:p>
    <w:p w:rsidR="007E1D88" w:rsidRPr="001F610C" w:rsidRDefault="007E1D88" w:rsidP="00C244E0">
      <w:pPr>
        <w:jc w:val="right"/>
        <w:rPr>
          <w:rFonts w:ascii="Arial" w:hAnsi="Arial" w:cs="Arial"/>
          <w:i/>
          <w:iCs/>
          <w:sz w:val="24"/>
          <w:szCs w:val="24"/>
        </w:rPr>
      </w:pPr>
      <w:hyperlink r:id="rId6" w:history="1">
        <w:r w:rsidRPr="007B5769">
          <w:rPr>
            <w:rStyle w:val="Hyperlink"/>
            <w:rFonts w:ascii="Arial" w:hAnsi="Arial" w:cs="Arial"/>
            <w:i/>
            <w:iCs/>
            <w:sz w:val="24"/>
            <w:szCs w:val="24"/>
            <w:lang w:val="en-US"/>
          </w:rPr>
          <w:t>Lidiya</w:t>
        </w:r>
        <w:r w:rsidRPr="007B5769">
          <w:rPr>
            <w:rStyle w:val="Hyperlink"/>
            <w:rFonts w:ascii="Arial" w:hAnsi="Arial" w:cs="Arial"/>
            <w:i/>
            <w:iCs/>
            <w:sz w:val="24"/>
            <w:szCs w:val="24"/>
          </w:rPr>
          <w:t>.</w:t>
        </w:r>
        <w:r w:rsidRPr="007B5769">
          <w:rPr>
            <w:rStyle w:val="Hyperlink"/>
            <w:rFonts w:ascii="Arial" w:hAnsi="Arial" w:cs="Arial"/>
            <w:i/>
            <w:iCs/>
            <w:sz w:val="24"/>
            <w:szCs w:val="24"/>
            <w:lang w:val="en-US"/>
          </w:rPr>
          <w:t>Khazova</w:t>
        </w:r>
        <w:r w:rsidRPr="007B5769">
          <w:rPr>
            <w:rStyle w:val="Hyperlink"/>
            <w:rFonts w:ascii="Arial" w:hAnsi="Arial" w:cs="Arial"/>
            <w:i/>
            <w:iCs/>
            <w:sz w:val="24"/>
            <w:szCs w:val="24"/>
          </w:rPr>
          <w:t>@chelpipe.ru</w:t>
        </w:r>
      </w:hyperlink>
    </w:p>
    <w:p w:rsidR="007E1D88" w:rsidRDefault="007E1D88" w:rsidP="0007785F">
      <w:pPr>
        <w:spacing w:line="360" w:lineRule="auto"/>
        <w:jc w:val="right"/>
      </w:pPr>
    </w:p>
    <w:sectPr w:rsidR="007E1D88" w:rsidSect="00412EE4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D88" w:rsidRDefault="007E1D88" w:rsidP="00412EE4">
      <w:r>
        <w:separator/>
      </w:r>
    </w:p>
  </w:endnote>
  <w:endnote w:type="continuationSeparator" w:id="0">
    <w:p w:rsidR="007E1D88" w:rsidRDefault="007E1D88" w:rsidP="00412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 Cond">
    <w:altName w:val="Arial Narrow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D88" w:rsidRDefault="007E1D88" w:rsidP="00412EE4">
      <w:r>
        <w:separator/>
      </w:r>
    </w:p>
  </w:footnote>
  <w:footnote w:type="continuationSeparator" w:id="0">
    <w:p w:rsidR="007E1D88" w:rsidRDefault="007E1D88" w:rsidP="00412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D88" w:rsidRDefault="007E1D8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s2049" type="#_x0000_t75" alt="чтпз-2" style="position:absolute;margin-left:11.55pt;margin-top:7.45pt;width:65.2pt;height:77.4pt;z-index:-251656192;visibility:visible" wrapcoords="-248 0 -248 21390 21600 21390 21600 0 -248 0">
          <v:imagedata r:id="rId1" o:title="" croptop="12379f" cropbottom="11502f" cropleft="15543f" cropright="15955f"/>
          <w10:wrap type="tight"/>
        </v:shape>
      </w:pict>
    </w:r>
    <w:r>
      <w:rPr>
        <w:noProof/>
      </w:rPr>
      <w:pict>
        <v:shape id="Obrázek 1" o:spid="_x0000_s2050" type="#_x0000_t75" style="position:absolute;margin-left:280.15pt;margin-top:2.45pt;width:174.75pt;height:37.5pt;z-index:251661312;visibility:visible;mso-position-horizontal-relative:margin;mso-position-vertical-relative:margin">
          <v:imagedata r:id="rId2" o:title="" cropbottom="27971f" cropright="183f" gain="109227f" blacklevel="-6554f"/>
          <w10:wrap type="square"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21E5"/>
    <w:rsid w:val="0007785F"/>
    <w:rsid w:val="000B5D26"/>
    <w:rsid w:val="000F7611"/>
    <w:rsid w:val="001F610C"/>
    <w:rsid w:val="002F5FEA"/>
    <w:rsid w:val="003521E5"/>
    <w:rsid w:val="00352E7C"/>
    <w:rsid w:val="00412EE4"/>
    <w:rsid w:val="00595F9F"/>
    <w:rsid w:val="005C443E"/>
    <w:rsid w:val="005C6F07"/>
    <w:rsid w:val="006031BE"/>
    <w:rsid w:val="00630BB0"/>
    <w:rsid w:val="0069074F"/>
    <w:rsid w:val="007637B0"/>
    <w:rsid w:val="00790089"/>
    <w:rsid w:val="007B5769"/>
    <w:rsid w:val="007E1D88"/>
    <w:rsid w:val="00823C79"/>
    <w:rsid w:val="008953F4"/>
    <w:rsid w:val="009626E4"/>
    <w:rsid w:val="009F53FE"/>
    <w:rsid w:val="00A333E6"/>
    <w:rsid w:val="00A43BBF"/>
    <w:rsid w:val="00AB3B72"/>
    <w:rsid w:val="00AD055F"/>
    <w:rsid w:val="00B1738E"/>
    <w:rsid w:val="00B46A1C"/>
    <w:rsid w:val="00B7586A"/>
    <w:rsid w:val="00B83C1E"/>
    <w:rsid w:val="00BE7AD6"/>
    <w:rsid w:val="00BF4BAF"/>
    <w:rsid w:val="00BF7DC6"/>
    <w:rsid w:val="00C244E0"/>
    <w:rsid w:val="00C93D4D"/>
    <w:rsid w:val="00CF0730"/>
    <w:rsid w:val="00CF3114"/>
    <w:rsid w:val="00DB0891"/>
    <w:rsid w:val="00E1245B"/>
    <w:rsid w:val="00F61B46"/>
    <w:rsid w:val="00FA0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1E5"/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85F"/>
    <w:pPr>
      <w:keepNext/>
      <w:keepLines/>
      <w:spacing w:before="480" w:line="276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val="cs-CZ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7785F"/>
    <w:rPr>
      <w:rFonts w:ascii="Cambria" w:hAnsi="Cambria" w:cs="Cambria"/>
      <w:b/>
      <w:bCs/>
      <w:color w:val="365F91"/>
      <w:sz w:val="28"/>
      <w:szCs w:val="28"/>
      <w:lang w:val="cs-CZ"/>
    </w:rPr>
  </w:style>
  <w:style w:type="paragraph" w:styleId="NoSpacing">
    <w:name w:val="No Spacing"/>
    <w:autoRedefine/>
    <w:uiPriority w:val="99"/>
    <w:qFormat/>
    <w:rsid w:val="00BE7AD6"/>
    <w:rPr>
      <w:rFonts w:ascii="Arial" w:hAnsi="Arial" w:cs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3521E5"/>
    <w:rPr>
      <w:color w:val="0000FF"/>
      <w:u w:val="single"/>
    </w:rPr>
  </w:style>
  <w:style w:type="paragraph" w:customStyle="1" w:styleId="1">
    <w:name w:val="Без интервала1"/>
    <w:uiPriority w:val="99"/>
    <w:rsid w:val="0007785F"/>
    <w:pPr>
      <w:suppressAutoHyphens/>
    </w:pPr>
    <w:rPr>
      <w:rFonts w:ascii="Franklin Gothic Medium Cond" w:eastAsia="Times New Roman" w:hAnsi="Franklin Gothic Medium Cond" w:cs="Franklin Gothic Medium Cond"/>
      <w:spacing w:val="43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630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0BB0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412EE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12EE4"/>
    <w:rPr>
      <w:rFonts w:ascii="Calibri" w:eastAsia="Times New Roman" w:hAnsi="Calibri" w:cs="Calibri"/>
      <w:lang w:eastAsia="ru-RU"/>
    </w:rPr>
  </w:style>
  <w:style w:type="paragraph" w:styleId="Footer">
    <w:name w:val="footer"/>
    <w:basedOn w:val="Normal"/>
    <w:link w:val="FooterChar"/>
    <w:uiPriority w:val="99"/>
    <w:rsid w:val="00412EE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12EE4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diya.Khazova@chelpipe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626</Words>
  <Characters>3574</Characters>
  <Application>Microsoft Office Outlook</Application>
  <DocSecurity>0</DocSecurity>
  <Lines>0</Lines>
  <Paragraphs>0</Paragraphs>
  <ScaleCrop>false</ScaleCrop>
  <Company>chtpz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Naylya.Entaltceva</dc:creator>
  <cp:keywords/>
  <dc:description/>
  <cp:lastModifiedBy>admin</cp:lastModifiedBy>
  <cp:revision>2</cp:revision>
  <dcterms:created xsi:type="dcterms:W3CDTF">2014-07-23T09:46:00Z</dcterms:created>
  <dcterms:modified xsi:type="dcterms:W3CDTF">2014-07-23T09:46:00Z</dcterms:modified>
</cp:coreProperties>
</file>