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7D" w:rsidRPr="00DC4E06" w:rsidRDefault="00656BD4">
      <w:pPr>
        <w:jc w:val="both"/>
        <w:rPr>
          <w:rFonts w:ascii="PT Sans" w:eastAsia="PT Sans" w:hAnsi="PT Sans" w:cs="PT Sans"/>
          <w:b/>
          <w:bCs/>
        </w:rPr>
      </w:pPr>
      <w:r w:rsidRPr="00DC4E06">
        <w:rPr>
          <w:rFonts w:ascii="PT Sans" w:hAnsi="PT Sans"/>
          <w:b/>
          <w:bCs/>
        </w:rPr>
        <w:t>ГО</w:t>
      </w:r>
      <w:proofErr w:type="gramStart"/>
      <w:r w:rsidRPr="00DC4E06">
        <w:rPr>
          <w:rFonts w:ascii="PT Sans" w:hAnsi="PT Sans"/>
          <w:b/>
          <w:bCs/>
        </w:rPr>
        <w:t>СТ в ст</w:t>
      </w:r>
      <w:proofErr w:type="gramEnd"/>
      <w:r w:rsidRPr="00DC4E06">
        <w:rPr>
          <w:rFonts w:ascii="PT Sans" w:hAnsi="PT Sans"/>
          <w:b/>
          <w:bCs/>
        </w:rPr>
        <w:t>орону</w:t>
      </w:r>
    </w:p>
    <w:p w:rsidR="007A507D" w:rsidRDefault="00656BD4">
      <w:pPr>
        <w:jc w:val="both"/>
        <w:rPr>
          <w:rFonts w:ascii="PT Sans" w:eastAsia="PT Sans" w:hAnsi="PT Sans" w:cs="PT Sans"/>
          <w:i/>
          <w:iCs/>
        </w:rPr>
      </w:pPr>
      <w:r>
        <w:rPr>
          <w:rFonts w:ascii="PT Sans" w:hAnsi="PT Sans"/>
          <w:i/>
          <w:iCs/>
        </w:rPr>
        <w:t xml:space="preserve">Пост-релиз конференции «Битумы и ПБВ 2017». Организатор – </w:t>
      </w:r>
      <w:r>
        <w:rPr>
          <w:rFonts w:ascii="PT Sans" w:hAnsi="PT Sans"/>
          <w:i/>
          <w:iCs/>
          <w:lang w:val="en-US"/>
        </w:rPr>
        <w:t>CREON</w:t>
      </w:r>
      <w:r>
        <w:rPr>
          <w:rFonts w:ascii="PT Sans" w:hAnsi="PT Sans"/>
          <w:i/>
          <w:iCs/>
        </w:rPr>
        <w:t xml:space="preserve"> </w:t>
      </w:r>
      <w:r>
        <w:rPr>
          <w:rFonts w:ascii="PT Sans" w:hAnsi="PT Sans"/>
          <w:i/>
          <w:iCs/>
          <w:lang w:val="en-US"/>
        </w:rPr>
        <w:t>Energy</w:t>
      </w:r>
      <w:r>
        <w:rPr>
          <w:rFonts w:ascii="PT Sans" w:hAnsi="PT Sans"/>
          <w:i/>
          <w:iCs/>
        </w:rPr>
        <w:t xml:space="preserve"> </w:t>
      </w:r>
    </w:p>
    <w:p w:rsidR="007A507D" w:rsidRDefault="00656BD4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Потребление битумов в России растет из года в год, в первую очередь благодаря реализации многолетней Федеральной программы «Модернизация транспортной системы России». Любая дорога - это сложное инженерно-техническое сооружение, требующее серьезных финансовых </w:t>
      </w:r>
      <w:proofErr w:type="gramStart"/>
      <w:r>
        <w:rPr>
          <w:rFonts w:ascii="PT Sans" w:hAnsi="PT Sans"/>
        </w:rPr>
        <w:t>вложений</w:t>
      </w:r>
      <w:proofErr w:type="gramEnd"/>
      <w:r>
        <w:rPr>
          <w:rFonts w:ascii="PT Sans" w:hAnsi="PT Sans"/>
        </w:rPr>
        <w:t xml:space="preserve"> как при строительстве, так и при эксплуатации. Одной из главных задач отрасли стоит увеличение срока службы дорожного покрытия, а новые разработки здесь играют далеко не последнюю роль.</w:t>
      </w:r>
    </w:p>
    <w:p w:rsidR="007A507D" w:rsidRDefault="00656BD4">
      <w:pPr>
        <w:jc w:val="both"/>
        <w:rPr>
          <w:rFonts w:ascii="PT Sans" w:eastAsia="PT Sans" w:hAnsi="PT Sans" w:cs="PT Sans"/>
          <w:sz w:val="20"/>
          <w:szCs w:val="20"/>
          <w:shd w:val="clear" w:color="auto" w:fill="EFEFEF"/>
        </w:rPr>
      </w:pPr>
      <w:r>
        <w:rPr>
          <w:rFonts w:ascii="PT Sans" w:hAnsi="PT Sans"/>
        </w:rPr>
        <w:t xml:space="preserve">Шестая международная конференция «Битумы и ПБВ 2017», организованная </w:t>
      </w:r>
      <w:r>
        <w:rPr>
          <w:rFonts w:ascii="PT Sans" w:hAnsi="PT Sans"/>
          <w:lang w:val="en-US"/>
        </w:rPr>
        <w:t>CREON</w:t>
      </w:r>
      <w:r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>, состоялась в Москве 28 ноября. Партнерами мероприятия выступили «</w:t>
      </w:r>
      <w:proofErr w:type="spellStart"/>
      <w:r>
        <w:rPr>
          <w:rFonts w:ascii="PT Sans" w:hAnsi="PT Sans"/>
        </w:rPr>
        <w:t>Реттенмайер</w:t>
      </w:r>
      <w:proofErr w:type="spellEnd"/>
      <w:r>
        <w:rPr>
          <w:rFonts w:ascii="PT Sans" w:hAnsi="PT Sans"/>
        </w:rPr>
        <w:t xml:space="preserve"> Рус» и агентство «Коммуникации», информационным спонсором – журнал «Автомобильные дороги».</w:t>
      </w:r>
    </w:p>
    <w:p w:rsidR="007A507D" w:rsidRDefault="00656BD4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Приветствуя собравшихся, генеральный директор </w:t>
      </w:r>
      <w:r>
        <w:rPr>
          <w:rFonts w:ascii="PT Sans" w:hAnsi="PT Sans"/>
          <w:lang w:val="en-US"/>
        </w:rPr>
        <w:t>CREON</w:t>
      </w:r>
      <w:r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b/>
          <w:bCs/>
        </w:rPr>
        <w:t>Санджар</w:t>
      </w:r>
      <w:proofErr w:type="spellEnd"/>
      <w:r>
        <w:rPr>
          <w:rFonts w:ascii="PT Sans" w:hAnsi="PT Sans"/>
          <w:b/>
          <w:bCs/>
        </w:rPr>
        <w:t xml:space="preserve"> </w:t>
      </w:r>
      <w:proofErr w:type="spellStart"/>
      <w:r>
        <w:rPr>
          <w:rFonts w:ascii="PT Sans" w:hAnsi="PT Sans"/>
          <w:b/>
          <w:bCs/>
        </w:rPr>
        <w:t>Тургунов</w:t>
      </w:r>
      <w:proofErr w:type="spellEnd"/>
      <w:r>
        <w:rPr>
          <w:rFonts w:ascii="PT Sans" w:hAnsi="PT Sans"/>
          <w:b/>
          <w:bCs/>
        </w:rPr>
        <w:t xml:space="preserve"> </w:t>
      </w:r>
      <w:r>
        <w:rPr>
          <w:rFonts w:ascii="PT Sans" w:hAnsi="PT Sans"/>
        </w:rPr>
        <w:t xml:space="preserve">сообщил, что в мире битумов сейчас все развивается «со знаком плюс» и главной темой мероприятия назвал систему </w:t>
      </w:r>
      <w:proofErr w:type="spellStart"/>
      <w:r>
        <w:rPr>
          <w:rFonts w:ascii="PT Sans" w:hAnsi="PT Sans"/>
          <w:lang w:val="en-US"/>
        </w:rPr>
        <w:t>Superpave</w:t>
      </w:r>
      <w:proofErr w:type="spellEnd"/>
      <w:r>
        <w:rPr>
          <w:rFonts w:ascii="PT Sans" w:hAnsi="PT Sans"/>
        </w:rPr>
        <w:t xml:space="preserve">. Внедрение ее в России – большой и важный шаг к увеличению межремонтного срока службы дорожного покрытия. На сегодняшний день система не только разработана и опробована, но и уже внедряется на практике, правда, пока в небольших объемах. Она направлена на решение таких проблем, как классические деформации, усталостные и низкотемпературные трещинообразования. Адаптировались к ней и производители битумов, и дорожники: одни – наладили выпуск продуктов с заданными свойствами, другие – поняли все преимущества инновационного асфальтобетона. </w:t>
      </w:r>
    </w:p>
    <w:p w:rsidR="00C7568B" w:rsidRPr="00C7568B" w:rsidRDefault="00C7568B" w:rsidP="00C7568B">
      <w:pPr>
        <w:jc w:val="both"/>
        <w:rPr>
          <w:rFonts w:ascii="PT Sans" w:hAnsi="PT Sans"/>
        </w:rPr>
      </w:pPr>
      <w:r w:rsidRPr="00C7568B">
        <w:rPr>
          <w:rFonts w:ascii="PT Sans" w:hAnsi="PT Sans"/>
        </w:rPr>
        <w:t xml:space="preserve">Конференцию открыл эксперт научно-технического совета Федерального дорожного агентства </w:t>
      </w:r>
      <w:r w:rsidRPr="00C7568B">
        <w:rPr>
          <w:rFonts w:ascii="PT Sans" w:hAnsi="PT Sans"/>
          <w:b/>
        </w:rPr>
        <w:t xml:space="preserve">Евгений </w:t>
      </w:r>
      <w:proofErr w:type="spellStart"/>
      <w:r w:rsidRPr="00C7568B">
        <w:rPr>
          <w:rFonts w:ascii="PT Sans" w:hAnsi="PT Sans"/>
          <w:b/>
        </w:rPr>
        <w:t>Дамье</w:t>
      </w:r>
      <w:proofErr w:type="spellEnd"/>
      <w:r w:rsidRPr="00C7568B">
        <w:rPr>
          <w:rFonts w:ascii="PT Sans" w:hAnsi="PT Sans"/>
        </w:rPr>
        <w:t xml:space="preserve"> и рассказал участникам о преимуществах применения вяжущего по PG. По словам выступающего, битумные вяжущие, классифицированные по PG (температурные диапазоны эксплуатации), учитывают уровни транспортной нагрузки, чего не позволяет сделать классификация </w:t>
      </w:r>
      <w:proofErr w:type="gramStart"/>
      <w:r w:rsidRPr="00C7568B">
        <w:rPr>
          <w:rFonts w:ascii="PT Sans" w:hAnsi="PT Sans"/>
        </w:rPr>
        <w:t>вяжущих</w:t>
      </w:r>
      <w:proofErr w:type="gramEnd"/>
      <w:r w:rsidRPr="00C7568B">
        <w:rPr>
          <w:rFonts w:ascii="PT Sans" w:hAnsi="PT Sans"/>
        </w:rPr>
        <w:t xml:space="preserve"> по ГОСТ. Используемые методы испытания вяжущих по ГОСТ морально устарели, и в части старения учитывают только кратковременные характеристики, имитирующее производство смесей и их укладку, в отличие от методов исследований по PG, которые включают в себя испытание на длительное старение, учитывающее свойства материала в процессе эксплуатации. </w:t>
      </w:r>
    </w:p>
    <w:p w:rsidR="00C7568B" w:rsidRPr="00C7568B" w:rsidRDefault="00BF52B1" w:rsidP="00C7568B">
      <w:pPr>
        <w:jc w:val="both"/>
        <w:rPr>
          <w:rFonts w:ascii="PT Sans" w:hAnsi="PT Sans"/>
        </w:rPr>
      </w:pPr>
      <w:proofErr w:type="gramStart"/>
      <w:r>
        <w:rPr>
          <w:rFonts w:ascii="PT Sans" w:hAnsi="PT Sans"/>
        </w:rPr>
        <w:t>Д</w:t>
      </w:r>
      <w:r w:rsidR="00C7568B" w:rsidRPr="00C7568B">
        <w:rPr>
          <w:rFonts w:ascii="PT Sans" w:hAnsi="PT Sans"/>
        </w:rPr>
        <w:t>ля получения требуемого комплекса свойств следует применять в асфальтобетонных смесях модифицированные битумные в</w:t>
      </w:r>
      <w:r>
        <w:rPr>
          <w:rFonts w:ascii="PT Sans" w:hAnsi="PT Sans"/>
        </w:rPr>
        <w:t>яжущие.</w:t>
      </w:r>
      <w:proofErr w:type="gramEnd"/>
      <w:r>
        <w:rPr>
          <w:rFonts w:ascii="PT Sans" w:hAnsi="PT Sans"/>
        </w:rPr>
        <w:t xml:space="preserve"> Однако при испытаниях</w:t>
      </w:r>
      <w:r w:rsidR="00BB12BC">
        <w:rPr>
          <w:rFonts w:ascii="PT Sans" w:hAnsi="PT Sans"/>
        </w:rPr>
        <w:t xml:space="preserve"> таких вяжущих отечественного образца </w:t>
      </w:r>
      <w:r w:rsidR="00C7568B" w:rsidRPr="00C7568B">
        <w:rPr>
          <w:rFonts w:ascii="PT Sans" w:hAnsi="PT Sans"/>
        </w:rPr>
        <w:t xml:space="preserve">обнаружилось, что подавляющее большинство из них не соответствуют требованиям, предъявляемым </w:t>
      </w:r>
      <w:proofErr w:type="gramStart"/>
      <w:r w:rsidR="00C7568B" w:rsidRPr="00C7568B">
        <w:rPr>
          <w:rFonts w:ascii="PT Sans" w:hAnsi="PT Sans"/>
        </w:rPr>
        <w:t>к</w:t>
      </w:r>
      <w:proofErr w:type="gramEnd"/>
      <w:r w:rsidR="00C7568B" w:rsidRPr="00C7568B">
        <w:rPr>
          <w:rFonts w:ascii="PT Sans" w:hAnsi="PT Sans"/>
        </w:rPr>
        <w:t xml:space="preserve"> вяжущим по PG. </w:t>
      </w:r>
      <w:r w:rsidR="00266A70">
        <w:rPr>
          <w:rFonts w:ascii="PT Sans" w:hAnsi="PT Sans"/>
        </w:rPr>
        <w:t xml:space="preserve">Испытания </w:t>
      </w:r>
      <w:r>
        <w:rPr>
          <w:rFonts w:ascii="PT Sans" w:hAnsi="PT Sans"/>
        </w:rPr>
        <w:t xml:space="preserve">и </w:t>
      </w:r>
      <w:r w:rsidR="00C7568B" w:rsidRPr="00C7568B">
        <w:rPr>
          <w:rFonts w:ascii="PT Sans" w:hAnsi="PT Sans"/>
        </w:rPr>
        <w:t>классификация</w:t>
      </w:r>
      <w:r>
        <w:rPr>
          <w:rFonts w:ascii="PT Sans" w:hAnsi="PT Sans"/>
        </w:rPr>
        <w:t xml:space="preserve"> </w:t>
      </w:r>
      <w:r w:rsidR="00C7568B" w:rsidRPr="00C7568B">
        <w:rPr>
          <w:rFonts w:ascii="PT Sans" w:hAnsi="PT Sans"/>
        </w:rPr>
        <w:t>по температурным диапазонам эксплуатации PG показ</w:t>
      </w:r>
      <w:r w:rsidR="00F37147">
        <w:rPr>
          <w:rFonts w:ascii="PT Sans" w:hAnsi="PT Sans"/>
        </w:rPr>
        <w:t>али</w:t>
      </w:r>
      <w:r>
        <w:rPr>
          <w:rFonts w:ascii="PT Sans" w:hAnsi="PT Sans"/>
        </w:rPr>
        <w:t>, что на большинстве участков</w:t>
      </w:r>
      <w:r w:rsidR="00C7568B" w:rsidRPr="00C7568B">
        <w:rPr>
          <w:rFonts w:ascii="PT Sans" w:hAnsi="PT Sans"/>
        </w:rPr>
        <w:t xml:space="preserve"> строительства применяются</w:t>
      </w:r>
      <w:r w:rsidR="00266A70">
        <w:rPr>
          <w:rFonts w:ascii="PT Sans" w:hAnsi="PT Sans"/>
        </w:rPr>
        <w:t xml:space="preserve"> вяжущие</w:t>
      </w:r>
      <w:r>
        <w:rPr>
          <w:rFonts w:ascii="PT Sans" w:hAnsi="PT Sans"/>
        </w:rPr>
        <w:t>, не</w:t>
      </w:r>
      <w:r w:rsidR="00F37147">
        <w:rPr>
          <w:rFonts w:ascii="PT Sans" w:hAnsi="PT Sans"/>
        </w:rPr>
        <w:t xml:space="preserve"> </w:t>
      </w:r>
      <w:r w:rsidR="00C7568B" w:rsidRPr="00C7568B">
        <w:rPr>
          <w:rFonts w:ascii="PT Sans" w:hAnsi="PT Sans"/>
        </w:rPr>
        <w:t xml:space="preserve">рассчитанные на работу в данных климатических условиях. </w:t>
      </w:r>
    </w:p>
    <w:p w:rsidR="00C7568B" w:rsidRPr="00C7568B" w:rsidRDefault="00D307C3" w:rsidP="00C7568B">
      <w:pPr>
        <w:jc w:val="both"/>
        <w:rPr>
          <w:rFonts w:ascii="PT Sans" w:hAnsi="PT Sans"/>
        </w:rPr>
      </w:pPr>
      <w:r>
        <w:rPr>
          <w:rFonts w:ascii="PT Sans" w:hAnsi="PT Sans"/>
        </w:rPr>
        <w:t>Эксперт уверяет, что с</w:t>
      </w:r>
      <w:r w:rsidR="00C7568B" w:rsidRPr="00C7568B">
        <w:rPr>
          <w:rFonts w:ascii="PT Sans" w:hAnsi="PT Sans"/>
        </w:rPr>
        <w:t>истема нормативов на основе ГОСТ на асфальтобетонные смеси построена таким образом, что при укладке требуется стремит</w:t>
      </w:r>
      <w:r w:rsidR="00BF52B1">
        <w:rPr>
          <w:rFonts w:ascii="PT Sans" w:hAnsi="PT Sans"/>
        </w:rPr>
        <w:t>ься к коэффициенту уплотнения 0.</w:t>
      </w:r>
      <w:r>
        <w:rPr>
          <w:rFonts w:ascii="PT Sans" w:hAnsi="PT Sans"/>
        </w:rPr>
        <w:t>99, это</w:t>
      </w:r>
      <w:r w:rsidR="00C7568B" w:rsidRPr="00C7568B">
        <w:rPr>
          <w:rFonts w:ascii="PT Sans" w:hAnsi="PT Sans"/>
        </w:rPr>
        <w:t xml:space="preserve"> изначально приводи</w:t>
      </w:r>
      <w:r>
        <w:rPr>
          <w:rFonts w:ascii="PT Sans" w:hAnsi="PT Sans"/>
        </w:rPr>
        <w:t xml:space="preserve">т к переуплотнению материала, и, </w:t>
      </w:r>
      <w:r w:rsidR="00C7568B" w:rsidRPr="00C7568B">
        <w:rPr>
          <w:rFonts w:ascii="PT Sans" w:hAnsi="PT Sans"/>
        </w:rPr>
        <w:t>как следствие</w:t>
      </w:r>
      <w:r>
        <w:rPr>
          <w:rFonts w:ascii="PT Sans" w:hAnsi="PT Sans"/>
        </w:rPr>
        <w:t>,</w:t>
      </w:r>
      <w:r w:rsidR="00C7568B" w:rsidRPr="00C7568B">
        <w:rPr>
          <w:rFonts w:ascii="PT Sans" w:hAnsi="PT Sans"/>
        </w:rPr>
        <w:t xml:space="preserve"> к разрушению </w:t>
      </w:r>
      <w:r w:rsidR="00C7568B" w:rsidRPr="00C7568B">
        <w:rPr>
          <w:rFonts w:ascii="PT Sans" w:hAnsi="PT Sans"/>
        </w:rPr>
        <w:lastRenderedPageBreak/>
        <w:t>минерального карка</w:t>
      </w:r>
      <w:r>
        <w:rPr>
          <w:rFonts w:ascii="PT Sans" w:hAnsi="PT Sans"/>
        </w:rPr>
        <w:t xml:space="preserve">са заполнителя, </w:t>
      </w:r>
      <w:r w:rsidR="00C7568B" w:rsidRPr="00C7568B">
        <w:rPr>
          <w:rFonts w:ascii="PT Sans" w:hAnsi="PT Sans"/>
        </w:rPr>
        <w:t xml:space="preserve">после </w:t>
      </w:r>
      <w:r>
        <w:rPr>
          <w:rFonts w:ascii="PT Sans" w:hAnsi="PT Sans"/>
        </w:rPr>
        <w:t xml:space="preserve">чего </w:t>
      </w:r>
      <w:r w:rsidR="00C7568B" w:rsidRPr="00C7568B">
        <w:rPr>
          <w:rFonts w:ascii="PT Sans" w:hAnsi="PT Sans"/>
        </w:rPr>
        <w:t>никакие вяжущие не способны решить задачу устойчивости асфальтобетона к транспортным нагрузкам. А лабораторные испытания асфальтобетонов по ГОСТ совершенно не соответствуют принципам объёмного проектирования</w:t>
      </w:r>
      <w:r w:rsidR="00BF52B1">
        <w:rPr>
          <w:rFonts w:ascii="PT Sans" w:hAnsi="PT Sans"/>
        </w:rPr>
        <w:t>.</w:t>
      </w:r>
      <w:r w:rsidR="00C7568B" w:rsidRPr="00C7568B">
        <w:rPr>
          <w:rFonts w:ascii="PT Sans" w:hAnsi="PT Sans"/>
        </w:rPr>
        <w:t xml:space="preserve"> </w:t>
      </w:r>
    </w:p>
    <w:p w:rsidR="00C7568B" w:rsidRPr="00C7568B" w:rsidRDefault="00BF52B1" w:rsidP="00C7568B">
      <w:pPr>
        <w:jc w:val="both"/>
        <w:rPr>
          <w:rFonts w:ascii="PT Sans" w:hAnsi="PT Sans"/>
        </w:rPr>
      </w:pPr>
      <w:r>
        <w:rPr>
          <w:rFonts w:ascii="PT Sans" w:hAnsi="PT Sans"/>
        </w:rPr>
        <w:t>С</w:t>
      </w:r>
      <w:r w:rsidR="00C7568B" w:rsidRPr="00C7568B">
        <w:rPr>
          <w:rFonts w:ascii="PT Sans" w:hAnsi="PT Sans"/>
        </w:rPr>
        <w:t xml:space="preserve">пециалисты дорожной отрасли, принимающие участие в развитии применения системы проектирования дорожного покрытия и методов объемного проектирования и </w:t>
      </w:r>
      <w:proofErr w:type="gramStart"/>
      <w:r w:rsidR="00C7568B" w:rsidRPr="00C7568B">
        <w:rPr>
          <w:rFonts w:ascii="PT Sans" w:hAnsi="PT Sans"/>
        </w:rPr>
        <w:t>испытаний</w:t>
      </w:r>
      <w:proofErr w:type="gramEnd"/>
      <w:r w:rsidR="00C7568B" w:rsidRPr="00C7568B">
        <w:rPr>
          <w:rFonts w:ascii="PT Sans" w:hAnsi="PT Sans"/>
        </w:rPr>
        <w:t xml:space="preserve"> вяжущих по температурным диапазонам эксплуатации понимают, что </w:t>
      </w:r>
      <w:r w:rsidR="00D307C3">
        <w:rPr>
          <w:rFonts w:ascii="PT Sans" w:hAnsi="PT Sans"/>
        </w:rPr>
        <w:t xml:space="preserve">иного </w:t>
      </w:r>
      <w:r w:rsidR="00C7568B" w:rsidRPr="00C7568B">
        <w:rPr>
          <w:rFonts w:ascii="PT Sans" w:hAnsi="PT Sans"/>
        </w:rPr>
        <w:t xml:space="preserve">пути нет. Для ответственных дорог с высокой интенсивностью не существует другой понятной системы, которую нужно развивать. Многие подрядные организации при переходе на асфальтобетоны СПАС говорят о том, что требования полностью изменяют культуру производства и укладки асфальта, а также требуют большего внимания в подготовке материалов. </w:t>
      </w:r>
    </w:p>
    <w:p w:rsidR="00C7568B" w:rsidRDefault="00C7568B" w:rsidP="00C7568B">
      <w:pPr>
        <w:jc w:val="both"/>
        <w:rPr>
          <w:rFonts w:ascii="PT Sans" w:hAnsi="PT Sans"/>
        </w:rPr>
      </w:pPr>
      <w:r>
        <w:rPr>
          <w:rFonts w:ascii="PT Sans" w:hAnsi="PT Sans"/>
        </w:rPr>
        <w:t>«Е</w:t>
      </w:r>
      <w:r w:rsidRPr="00C7568B">
        <w:rPr>
          <w:rFonts w:ascii="PT Sans" w:hAnsi="PT Sans"/>
        </w:rPr>
        <w:t xml:space="preserve">сли мы хотим, чтобы асфальтобетон служил два года, тогда не стоит стремиться к перспективным технологиям и материалам с улучшенными свойствами, а если мы выполняем программу по увеличению межремонтных сроков службы, необходимо работать по новым стандартам и прогрессивным методикам, а также менять культуру производства в дорожной сфере», – подытожил г-н </w:t>
      </w:r>
      <w:proofErr w:type="spellStart"/>
      <w:r w:rsidRPr="00C7568B">
        <w:rPr>
          <w:rFonts w:ascii="PT Sans" w:hAnsi="PT Sans"/>
        </w:rPr>
        <w:t>Дамье</w:t>
      </w:r>
      <w:proofErr w:type="spellEnd"/>
      <w:r w:rsidRPr="00C7568B">
        <w:rPr>
          <w:rFonts w:ascii="PT Sans" w:hAnsi="PT Sans"/>
        </w:rPr>
        <w:t>.</w:t>
      </w:r>
    </w:p>
    <w:p w:rsidR="002C4EB0" w:rsidRDefault="00656BD4" w:rsidP="002C4EB0">
      <w:pPr>
        <w:jc w:val="both"/>
        <w:rPr>
          <w:rFonts w:ascii="PT Sans" w:hAnsi="PT Sans"/>
        </w:rPr>
      </w:pPr>
      <w:r>
        <w:rPr>
          <w:rFonts w:ascii="PT Sans" w:hAnsi="PT Sans"/>
        </w:rPr>
        <w:t xml:space="preserve">На сегодняшний день известно, что практически весь исследуемый период производства битумов сопровождался положительной динамикой роста с разными темпами, за исключением кризисных 2014 г. и 2015 г. С обзорным докладом российского рынка битумов выступил ведущий аналитик </w:t>
      </w:r>
      <w:r>
        <w:rPr>
          <w:rFonts w:ascii="PT Sans" w:hAnsi="PT Sans"/>
          <w:lang w:val="en-US"/>
        </w:rPr>
        <w:t>CREON</w:t>
      </w:r>
      <w:r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Energy</w:t>
      </w:r>
      <w:r>
        <w:rPr>
          <w:rFonts w:ascii="PT Sans" w:hAnsi="PT Sans"/>
        </w:rPr>
        <w:t xml:space="preserve"> </w:t>
      </w:r>
      <w:r>
        <w:rPr>
          <w:rFonts w:ascii="PT Sans" w:hAnsi="PT Sans"/>
          <w:b/>
          <w:bCs/>
        </w:rPr>
        <w:t>Вячеслав Гущин</w:t>
      </w:r>
      <w:r>
        <w:rPr>
          <w:rFonts w:ascii="PT Sans" w:hAnsi="PT Sans"/>
        </w:rPr>
        <w:t>,</w:t>
      </w:r>
      <w:r>
        <w:rPr>
          <w:rFonts w:ascii="PT Sans" w:hAnsi="PT Sans"/>
          <w:b/>
          <w:bCs/>
        </w:rPr>
        <w:t xml:space="preserve"> </w:t>
      </w:r>
      <w:r>
        <w:rPr>
          <w:rFonts w:ascii="PT Sans" w:hAnsi="PT Sans"/>
        </w:rPr>
        <w:t>который сообщил, что в прошлом году рос</w:t>
      </w:r>
      <w:r w:rsidR="00266A70">
        <w:rPr>
          <w:rFonts w:ascii="PT Sans" w:hAnsi="PT Sans"/>
        </w:rPr>
        <w:t>сийскими НПЗ было произведено 5.</w:t>
      </w:r>
      <w:r>
        <w:rPr>
          <w:rFonts w:ascii="PT Sans" w:hAnsi="PT Sans"/>
        </w:rPr>
        <w:t xml:space="preserve">36 </w:t>
      </w:r>
      <w:proofErr w:type="gramStart"/>
      <w:r>
        <w:rPr>
          <w:rFonts w:ascii="PT Sans" w:hAnsi="PT Sans"/>
        </w:rPr>
        <w:t>млн</w:t>
      </w:r>
      <w:proofErr w:type="gramEnd"/>
      <w:r>
        <w:rPr>
          <w:rFonts w:ascii="PT Sans" w:hAnsi="PT Sans"/>
        </w:rPr>
        <w:t xml:space="preserve"> т битумов различного назначения, а на текущий момент эта отметка стала еще выше: уже к октябрю 2017 г. было произведено на четыре процента больше, чем за аналогичный период прошлого года. </w:t>
      </w:r>
    </w:p>
    <w:p w:rsidR="007A507D" w:rsidRDefault="002C4EB0" w:rsidP="002C4EB0">
      <w:pPr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40.75pt">
            <v:imagedata r:id="rId8" o:title="bitumen17graf1"/>
          </v:shape>
        </w:pict>
      </w:r>
    </w:p>
    <w:p w:rsidR="002C4EB0" w:rsidRDefault="002C4EB0">
      <w:pPr>
        <w:jc w:val="both"/>
        <w:rPr>
          <w:rFonts w:ascii="PT Sans" w:hAnsi="PT Sans"/>
        </w:rPr>
      </w:pPr>
    </w:p>
    <w:p w:rsidR="002C4EB0" w:rsidRDefault="002C4EB0">
      <w:pPr>
        <w:jc w:val="both"/>
        <w:rPr>
          <w:rFonts w:ascii="PT Sans" w:hAnsi="PT Sans"/>
        </w:rPr>
      </w:pPr>
      <w:r w:rsidRPr="002C4EB0">
        <w:rPr>
          <w:rFonts w:ascii="PT Sans" w:hAnsi="PT Sans"/>
        </w:rPr>
        <w:lastRenderedPageBreak/>
        <w:t>Наибольший объем битумов производится в Приволжском и Центральном федеральных округах – за девять месяцев текущего года это совокупно 79% в структуре производства по округам. Также эксперт отмечает, что пока не все НПЗ перешли на выпуск битумов по новому стандарту.</w:t>
      </w:r>
    </w:p>
    <w:p w:rsidR="002C4EB0" w:rsidRDefault="002C4EB0" w:rsidP="002C4EB0">
      <w:pPr>
        <w:jc w:val="center"/>
        <w:rPr>
          <w:rFonts w:ascii="PT Sans" w:hAnsi="PT Sans"/>
        </w:rPr>
      </w:pPr>
      <w:r>
        <w:rPr>
          <w:rFonts w:ascii="PT Sans" w:hAnsi="PT Sans"/>
        </w:rPr>
        <w:pict>
          <v:shape id="_x0000_i1026" type="#_x0000_t75" style="width:467.25pt;height:240.75pt">
            <v:imagedata r:id="rId9" o:title="bitumen17graf3"/>
          </v:shape>
        </w:pict>
      </w:r>
    </w:p>
    <w:p w:rsidR="007A507D" w:rsidRDefault="002C4EB0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Г</w:t>
      </w:r>
      <w:r w:rsidR="00656BD4">
        <w:rPr>
          <w:rFonts w:ascii="PT Sans" w:hAnsi="PT Sans"/>
        </w:rPr>
        <w:t>-н Гущин говорит, что на рынке битумов ежегодно доминируют ВИНК. За период с января по сентябрь 2017 г. совокупная доля в производстве «Роснефть», «Газпром нефть» и «Лукойл» составила 71%.</w:t>
      </w:r>
    </w:p>
    <w:p w:rsidR="007A507D" w:rsidRDefault="00656BD4">
      <w:pPr>
        <w:jc w:val="both"/>
        <w:rPr>
          <w:rFonts w:ascii="PT Sans" w:hAnsi="PT Sans"/>
        </w:rPr>
      </w:pPr>
      <w:r>
        <w:rPr>
          <w:rFonts w:ascii="PT Sans" w:hAnsi="PT Sans"/>
        </w:rPr>
        <w:t>Ситуация по экспорту складывается сегодня иным образом: основной экспортер – «</w:t>
      </w:r>
      <w:proofErr w:type="spellStart"/>
      <w:r>
        <w:rPr>
          <w:rFonts w:ascii="PT Sans" w:hAnsi="PT Sans"/>
        </w:rPr>
        <w:t>Башнефть</w:t>
      </w:r>
      <w:proofErr w:type="spellEnd"/>
      <w:r>
        <w:rPr>
          <w:rFonts w:ascii="PT Sans" w:hAnsi="PT Sans"/>
        </w:rPr>
        <w:t xml:space="preserve">» в составе «Роснефть» - к сентябрю текущего года отправил на экспорт 20% произведенного битума, а доля компании в структуре экспортеров за девять месяцев 2017 г. составила 27%. Вопрос о том, как изменится рынок дальше, остается актуальным. </w:t>
      </w:r>
    </w:p>
    <w:p w:rsidR="006D39A1" w:rsidRDefault="006D39A1" w:rsidP="006D39A1">
      <w:pPr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pict>
          <v:shape id="_x0000_i1027" type="#_x0000_t75" style="width:467.25pt;height:240.75pt">
            <v:imagedata r:id="rId10" o:title="bitumen17graf2"/>
          </v:shape>
        </w:pict>
      </w:r>
    </w:p>
    <w:p w:rsidR="007A507D" w:rsidRDefault="00656BD4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lastRenderedPageBreak/>
        <w:t>Говоря о еще одном материале – ПБВ, г-н Гущин упомянул факт того, что рынок стал заметно расти в последние годы. Сегодня он сбалансирован и появилась явная тенденция на увеличение потребности. Объем российского рынка за последние годы вырос в несколько раз. Мощности увеличиваются, производства строятся. Перспективно, не так ли?</w:t>
      </w:r>
    </w:p>
    <w:p w:rsidR="007A507D" w:rsidRDefault="00656BD4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Главный специалист по технологиям и качеству дорожно-строительной компании «Автобан» </w:t>
      </w:r>
      <w:r>
        <w:rPr>
          <w:rFonts w:ascii="PT Sans" w:hAnsi="PT Sans"/>
          <w:b/>
          <w:bCs/>
        </w:rPr>
        <w:t xml:space="preserve">Андрей </w:t>
      </w:r>
      <w:proofErr w:type="spellStart"/>
      <w:r>
        <w:rPr>
          <w:rFonts w:ascii="PT Sans" w:hAnsi="PT Sans"/>
          <w:b/>
          <w:bCs/>
        </w:rPr>
        <w:t>Семянихин</w:t>
      </w:r>
      <w:proofErr w:type="spellEnd"/>
      <w:r>
        <w:rPr>
          <w:rFonts w:ascii="PT Sans" w:hAnsi="PT Sans"/>
        </w:rPr>
        <w:t xml:space="preserve"> предложил принимать решение об использовании модифицированного или не модифицированного вяжущего через «Правило 80». Если сумма значений по PG превышает 80, то проектировщиком принимается решение работать на модифицированном вяжущем, а если меньше - на обычном марочном битуме с </w:t>
      </w:r>
      <w:proofErr w:type="gramStart"/>
      <w:r>
        <w:rPr>
          <w:rFonts w:ascii="PT Sans" w:hAnsi="PT Sans"/>
        </w:rPr>
        <w:t>соответствующей</w:t>
      </w:r>
      <w:proofErr w:type="gram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пенетрацией</w:t>
      </w:r>
      <w:proofErr w:type="spellEnd"/>
      <w:r>
        <w:rPr>
          <w:rFonts w:ascii="PT Sans" w:hAnsi="PT Sans"/>
        </w:rPr>
        <w:t>. В каждой клеточке таблицы с PG поставлен коэффициент пересчета, то есть коэффициент удорожания, связанный с увеличением степени модификации.</w:t>
      </w:r>
    </w:p>
    <w:p w:rsidR="007A507D" w:rsidRDefault="00656BD4" w:rsidP="00DF72FC">
      <w:pPr>
        <w:jc w:val="both"/>
        <w:rPr>
          <w:rFonts w:ascii="PT Sans" w:hAnsi="PT Sans"/>
        </w:rPr>
      </w:pPr>
      <w:r>
        <w:rPr>
          <w:rFonts w:ascii="PT Sans" w:hAnsi="PT Sans"/>
        </w:rPr>
        <w:t>«Получается, если мы предполагаем, что марочный битум будет стоить 12 тыс. руб. за т, то в Московской области, соответствующей PG 64-28, тонна ПБВ обойдется государству в 24 тыс. 120 руб.», - разъяснил докладчик.</w:t>
      </w:r>
    </w:p>
    <w:p w:rsidR="006D39A1" w:rsidRDefault="006D39A1" w:rsidP="00DF72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pict>
          <v:shape id="_x0000_i1028" type="#_x0000_t75" style="width:467.25pt;height:240.75pt">
            <v:imagedata r:id="rId11" o:title="bitumen17graf4"/>
          </v:shape>
        </w:pict>
      </w:r>
    </w:p>
    <w:p w:rsidR="007A507D" w:rsidRDefault="00656BD4" w:rsidP="00DF72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Начальник отдела контроля качества ФКУ «</w:t>
      </w:r>
      <w:proofErr w:type="spellStart"/>
      <w:r>
        <w:rPr>
          <w:rFonts w:ascii="PT Sans" w:hAnsi="PT Sans"/>
        </w:rPr>
        <w:t>Центравтомагистраль</w:t>
      </w:r>
      <w:proofErr w:type="spellEnd"/>
      <w:r>
        <w:rPr>
          <w:rFonts w:ascii="PT Sans" w:hAnsi="PT Sans"/>
        </w:rPr>
        <w:t xml:space="preserve">» </w:t>
      </w:r>
      <w:r>
        <w:rPr>
          <w:rFonts w:ascii="PT Sans" w:hAnsi="PT Sans"/>
          <w:b/>
          <w:bCs/>
        </w:rPr>
        <w:t xml:space="preserve">Михаил </w:t>
      </w:r>
      <w:proofErr w:type="spellStart"/>
      <w:r>
        <w:rPr>
          <w:rFonts w:ascii="PT Sans" w:hAnsi="PT Sans"/>
          <w:b/>
          <w:bCs/>
        </w:rPr>
        <w:t>Славуцкий</w:t>
      </w:r>
      <w:proofErr w:type="spellEnd"/>
      <w:r>
        <w:rPr>
          <w:rFonts w:ascii="PT Sans" w:hAnsi="PT Sans"/>
        </w:rPr>
        <w:t xml:space="preserve"> рассказал об опыте применения методики S</w:t>
      </w:r>
      <w:proofErr w:type="spellStart"/>
      <w:r>
        <w:rPr>
          <w:rFonts w:ascii="PT Sans" w:hAnsi="PT Sans"/>
          <w:lang w:val="en-US"/>
        </w:rPr>
        <w:t>uperpave</w:t>
      </w:r>
      <w:proofErr w:type="spellEnd"/>
      <w:r>
        <w:rPr>
          <w:rFonts w:ascii="PT Sans" w:hAnsi="PT Sans"/>
        </w:rPr>
        <w:t xml:space="preserve"> при формировании требований к качеству вяжущего для асфальтобетона и пояснил, в чем заключаются принципиальные отличия существующей в РФ системы испытаний битумных вяжущих от системы S</w:t>
      </w:r>
      <w:proofErr w:type="spellStart"/>
      <w:r>
        <w:rPr>
          <w:rFonts w:ascii="PT Sans" w:hAnsi="PT Sans"/>
          <w:lang w:val="en-US"/>
        </w:rPr>
        <w:t>uperpave</w:t>
      </w:r>
      <w:proofErr w:type="spellEnd"/>
      <w:r>
        <w:rPr>
          <w:rFonts w:ascii="PT Sans" w:hAnsi="PT Sans"/>
        </w:rPr>
        <w:t xml:space="preserve">. </w:t>
      </w:r>
    </w:p>
    <w:p w:rsidR="007A507D" w:rsidRDefault="00656BD4" w:rsidP="00DF72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 xml:space="preserve">Первая идеологически разработана в странах западной Европы в 10-30 </w:t>
      </w:r>
      <w:r w:rsidR="00183164">
        <w:rPr>
          <w:rFonts w:ascii="PT Sans" w:hAnsi="PT Sans"/>
        </w:rPr>
        <w:t xml:space="preserve">годах ХХ </w:t>
      </w:r>
      <w:proofErr w:type="gramStart"/>
      <w:r w:rsidR="00183164">
        <w:rPr>
          <w:rFonts w:ascii="PT Sans" w:hAnsi="PT Sans"/>
        </w:rPr>
        <w:t>в</w:t>
      </w:r>
      <w:proofErr w:type="gramEnd"/>
      <w:r w:rsidR="00183164">
        <w:rPr>
          <w:rFonts w:ascii="PT Sans" w:hAnsi="PT Sans"/>
        </w:rPr>
        <w:t xml:space="preserve">., вторая – в США в </w:t>
      </w:r>
      <w:r w:rsidR="00183164" w:rsidRPr="00183164">
        <w:rPr>
          <w:rFonts w:ascii="PT Sans" w:hAnsi="PT Sans"/>
        </w:rPr>
        <w:t>80-90</w:t>
      </w:r>
      <w:r>
        <w:rPr>
          <w:rFonts w:ascii="PT Sans" w:hAnsi="PT Sans"/>
        </w:rPr>
        <w:t>-х гг</w:t>
      </w:r>
      <w:r w:rsidR="00183164">
        <w:rPr>
          <w:rFonts w:ascii="PT Sans" w:hAnsi="PT Sans"/>
        </w:rPr>
        <w:t>., но дорабатывается и в настоящее время</w:t>
      </w:r>
      <w:r>
        <w:rPr>
          <w:rFonts w:ascii="PT Sans" w:hAnsi="PT Sans"/>
        </w:rPr>
        <w:t>. По словам представителя «</w:t>
      </w:r>
      <w:proofErr w:type="spellStart"/>
      <w:r>
        <w:rPr>
          <w:rFonts w:ascii="PT Sans" w:hAnsi="PT Sans"/>
        </w:rPr>
        <w:t>Центравтомагистраль</w:t>
      </w:r>
      <w:proofErr w:type="spellEnd"/>
      <w:r>
        <w:rPr>
          <w:rFonts w:ascii="PT Sans" w:hAnsi="PT Sans"/>
        </w:rPr>
        <w:t>», в существующей системе испытания битумного вяжущего базируются в основном на измерениях различных условных вязкостей (</w:t>
      </w:r>
      <w:proofErr w:type="spellStart"/>
      <w:r>
        <w:rPr>
          <w:rFonts w:ascii="PT Sans" w:hAnsi="PT Sans"/>
        </w:rPr>
        <w:t>пенетрация</w:t>
      </w:r>
      <w:proofErr w:type="spellEnd"/>
      <w:r>
        <w:rPr>
          <w:rFonts w:ascii="PT Sans" w:hAnsi="PT Sans"/>
        </w:rPr>
        <w:t xml:space="preserve">, кольцо и шар) при повышенных температурах и достаточно условной характеристике при пониженных – температуре хрупкости по </w:t>
      </w:r>
      <w:proofErr w:type="spellStart"/>
      <w:r>
        <w:rPr>
          <w:rFonts w:ascii="PT Sans" w:hAnsi="PT Sans"/>
        </w:rPr>
        <w:t>Фраасу</w:t>
      </w:r>
      <w:proofErr w:type="spellEnd"/>
      <w:r>
        <w:rPr>
          <w:rFonts w:ascii="PT Sans" w:hAnsi="PT Sans"/>
        </w:rPr>
        <w:t>. Учет изменения свой</w:t>
      </w:r>
      <w:proofErr w:type="gramStart"/>
      <w:r>
        <w:rPr>
          <w:rFonts w:ascii="PT Sans" w:hAnsi="PT Sans"/>
        </w:rPr>
        <w:t>ств пр</w:t>
      </w:r>
      <w:proofErr w:type="gramEnd"/>
      <w:r>
        <w:rPr>
          <w:rFonts w:ascii="PT Sans" w:hAnsi="PT Sans"/>
        </w:rPr>
        <w:t xml:space="preserve">и старении битумного вяжущего </w:t>
      </w:r>
      <w:r>
        <w:rPr>
          <w:rFonts w:ascii="PT Sans" w:hAnsi="PT Sans"/>
        </w:rPr>
        <w:lastRenderedPageBreak/>
        <w:t>практически отсутствует. Требуемая марка битумного вяжущего косвенно связана с климатическими условиями расположения дороги и параметрами движения.</w:t>
      </w:r>
    </w:p>
    <w:p w:rsidR="007A507D" w:rsidRDefault="00656BD4" w:rsidP="00DF72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В системе S</w:t>
      </w:r>
      <w:proofErr w:type="spellStart"/>
      <w:r>
        <w:rPr>
          <w:rFonts w:ascii="PT Sans" w:hAnsi="PT Sans"/>
          <w:lang w:val="en-US"/>
        </w:rPr>
        <w:t>uperpave</w:t>
      </w:r>
      <w:proofErr w:type="spellEnd"/>
      <w:r>
        <w:rPr>
          <w:rFonts w:ascii="PT Sans" w:hAnsi="PT Sans"/>
        </w:rPr>
        <w:t>, напротив, испытания битумного вяжущего базируются в основном на определении реологических (физических) вязкостей до и после старения битумного вяжущего при повышенных и пониженных температурах. Требуемая марка битумного вяжущего напрямую связана с климатическими условиями расположения дороги и параметрами движения.</w:t>
      </w:r>
    </w:p>
    <w:p w:rsidR="00313383" w:rsidRPr="00313383" w:rsidRDefault="00313383" w:rsidP="00313383">
      <w:pPr>
        <w:jc w:val="both"/>
        <w:rPr>
          <w:rFonts w:ascii="PT Sans" w:hAnsi="PT Sans"/>
        </w:rPr>
      </w:pPr>
      <w:r w:rsidRPr="00313383">
        <w:rPr>
          <w:rFonts w:ascii="PT Sans" w:hAnsi="PT Sans"/>
        </w:rPr>
        <w:t>Так как же влияет природа происхождения битума на свойства асфальтобетона? Опытом поделился начальник центральной лаборатории «</w:t>
      </w:r>
      <w:proofErr w:type="spellStart"/>
      <w:r w:rsidRPr="00313383">
        <w:rPr>
          <w:rFonts w:ascii="PT Sans" w:hAnsi="PT Sans"/>
        </w:rPr>
        <w:t>Татавтодор</w:t>
      </w:r>
      <w:proofErr w:type="spellEnd"/>
      <w:r w:rsidRPr="00313383">
        <w:rPr>
          <w:rFonts w:ascii="PT Sans" w:hAnsi="PT Sans"/>
        </w:rPr>
        <w:t xml:space="preserve">» </w:t>
      </w:r>
      <w:r w:rsidRPr="000C2683">
        <w:rPr>
          <w:rFonts w:ascii="PT Sans" w:hAnsi="PT Sans"/>
          <w:b/>
        </w:rPr>
        <w:t xml:space="preserve">Ильшат </w:t>
      </w:r>
      <w:proofErr w:type="spellStart"/>
      <w:r w:rsidRPr="000C2683">
        <w:rPr>
          <w:rFonts w:ascii="PT Sans" w:hAnsi="PT Sans"/>
          <w:b/>
        </w:rPr>
        <w:t>Фазлеев</w:t>
      </w:r>
      <w:proofErr w:type="spellEnd"/>
      <w:r w:rsidRPr="00313383">
        <w:rPr>
          <w:rFonts w:ascii="PT Sans" w:hAnsi="PT Sans"/>
        </w:rPr>
        <w:t xml:space="preserve">. </w:t>
      </w:r>
      <w:proofErr w:type="spellStart"/>
      <w:r w:rsidRPr="00313383">
        <w:rPr>
          <w:rFonts w:ascii="PT Sans" w:hAnsi="PT Sans"/>
        </w:rPr>
        <w:t>Неокисленные</w:t>
      </w:r>
      <w:proofErr w:type="spellEnd"/>
      <w:r w:rsidRPr="00313383">
        <w:rPr>
          <w:rFonts w:ascii="PT Sans" w:hAnsi="PT Sans"/>
        </w:rPr>
        <w:t xml:space="preserve"> битумы, как известно, – основное сырье для получения </w:t>
      </w:r>
      <w:proofErr w:type="gramStart"/>
      <w:r w:rsidRPr="00313383">
        <w:rPr>
          <w:rFonts w:ascii="PT Sans" w:hAnsi="PT Sans"/>
        </w:rPr>
        <w:t>модифицированных</w:t>
      </w:r>
      <w:proofErr w:type="gramEnd"/>
      <w:r w:rsidRPr="00313383">
        <w:rPr>
          <w:rFonts w:ascii="PT Sans" w:hAnsi="PT Sans"/>
        </w:rPr>
        <w:t xml:space="preserve"> вяжущих. Их применение имеет ряд ограничений по физико-механическим свойствам асфальтобетона. В частности, необходимо обратить особое внимание на высокотемпературные и низкотемпературные показатели материала. Однако свойство устойчивости к старению является преимуществом </w:t>
      </w:r>
      <w:proofErr w:type="gramStart"/>
      <w:r w:rsidRPr="00313383">
        <w:rPr>
          <w:rFonts w:ascii="PT Sans" w:hAnsi="PT Sans"/>
        </w:rPr>
        <w:t>вяжущего</w:t>
      </w:r>
      <w:proofErr w:type="gramEnd"/>
      <w:r w:rsidRPr="00313383">
        <w:rPr>
          <w:rFonts w:ascii="PT Sans" w:hAnsi="PT Sans"/>
        </w:rPr>
        <w:t>.</w:t>
      </w:r>
    </w:p>
    <w:p w:rsidR="00313383" w:rsidRPr="00313383" w:rsidRDefault="00313383" w:rsidP="00313383">
      <w:pPr>
        <w:jc w:val="both"/>
        <w:rPr>
          <w:rFonts w:ascii="PT Sans" w:hAnsi="PT Sans"/>
        </w:rPr>
      </w:pPr>
      <w:r w:rsidRPr="00313383">
        <w:rPr>
          <w:rFonts w:ascii="PT Sans" w:hAnsi="PT Sans"/>
        </w:rPr>
        <w:t xml:space="preserve">Окисленные битумы, напротив, необходимо модифицировать в части увеличения когезионных свойств и сроков работоспособности путем внедрения добавок, среди которых, например, природный битум с </w:t>
      </w:r>
      <w:proofErr w:type="spellStart"/>
      <w:r w:rsidRPr="00313383">
        <w:rPr>
          <w:rFonts w:ascii="PT Sans" w:hAnsi="PT Sans"/>
        </w:rPr>
        <w:t>Пич-лейк</w:t>
      </w:r>
      <w:proofErr w:type="spellEnd"/>
      <w:r w:rsidRPr="00313383">
        <w:rPr>
          <w:rFonts w:ascii="PT Sans" w:hAnsi="PT Sans"/>
        </w:rPr>
        <w:t xml:space="preserve"> (битумное озеро). Такие битумы ограниченно подходят для модификаций полимерами, стабильность этих вяжущих неудовлетворительна. </w:t>
      </w:r>
    </w:p>
    <w:p w:rsidR="00313383" w:rsidRPr="00313383" w:rsidRDefault="00313383" w:rsidP="00313383">
      <w:pPr>
        <w:jc w:val="both"/>
        <w:rPr>
          <w:rFonts w:ascii="PT Sans" w:hAnsi="PT Sans"/>
        </w:rPr>
      </w:pPr>
      <w:r w:rsidRPr="00313383">
        <w:rPr>
          <w:rFonts w:ascii="PT Sans" w:hAnsi="PT Sans"/>
        </w:rPr>
        <w:t xml:space="preserve">Среди перспективных направлений развития дорожного битума в России г-н </w:t>
      </w:r>
      <w:proofErr w:type="spellStart"/>
      <w:r w:rsidRPr="00313383">
        <w:rPr>
          <w:rFonts w:ascii="PT Sans" w:hAnsi="PT Sans"/>
        </w:rPr>
        <w:t>Фазлеев</w:t>
      </w:r>
      <w:proofErr w:type="spellEnd"/>
      <w:r w:rsidRPr="00313383">
        <w:rPr>
          <w:rFonts w:ascii="PT Sans" w:hAnsi="PT Sans"/>
        </w:rPr>
        <w:t xml:space="preserve"> выделил компаунды. Условия реальной работы этого направления – строгий операционный контроль на НПЗ за изготавливаемой продукцией и, самое главное, конструктивный диалог между </w:t>
      </w:r>
      <w:proofErr w:type="spellStart"/>
      <w:r w:rsidRPr="00313383">
        <w:rPr>
          <w:rFonts w:ascii="PT Sans" w:hAnsi="PT Sans"/>
        </w:rPr>
        <w:t>нефтепереработчиками</w:t>
      </w:r>
      <w:proofErr w:type="spellEnd"/>
      <w:r w:rsidRPr="00313383">
        <w:rPr>
          <w:rFonts w:ascii="PT Sans" w:hAnsi="PT Sans"/>
        </w:rPr>
        <w:t xml:space="preserve"> и дорожниками по требованиям к </w:t>
      </w:r>
      <w:proofErr w:type="gramStart"/>
      <w:r w:rsidRPr="00313383">
        <w:rPr>
          <w:rFonts w:ascii="PT Sans" w:hAnsi="PT Sans"/>
        </w:rPr>
        <w:t>вяжущему</w:t>
      </w:r>
      <w:proofErr w:type="gramEnd"/>
      <w:r w:rsidRPr="00313383">
        <w:rPr>
          <w:rFonts w:ascii="PT Sans" w:hAnsi="PT Sans"/>
        </w:rPr>
        <w:t>.</w:t>
      </w:r>
    </w:p>
    <w:p w:rsidR="007A507D" w:rsidRDefault="00656BD4" w:rsidP="00DF72FC">
      <w:pPr>
        <w:jc w:val="both"/>
        <w:rPr>
          <w:rFonts w:ascii="PT Sans" w:hAnsi="PT Sans"/>
        </w:rPr>
      </w:pPr>
      <w:r>
        <w:rPr>
          <w:rFonts w:ascii="PT Sans" w:hAnsi="PT Sans"/>
        </w:rPr>
        <w:t xml:space="preserve">После разговора об окисленных и </w:t>
      </w:r>
      <w:proofErr w:type="spellStart"/>
      <w:r>
        <w:rPr>
          <w:rFonts w:ascii="PT Sans" w:hAnsi="PT Sans"/>
        </w:rPr>
        <w:t>неокисленных</w:t>
      </w:r>
      <w:proofErr w:type="spellEnd"/>
      <w:r>
        <w:rPr>
          <w:rFonts w:ascii="PT Sans" w:hAnsi="PT Sans"/>
        </w:rPr>
        <w:t xml:space="preserve"> битумах, речь зашла об особенностях компонентного и группового состава битумных материалов для дорожного строительства. Тему развивал заместитель директора по научной работе ИОФХ им. А.Е. Арбузова </w:t>
      </w:r>
      <w:proofErr w:type="spellStart"/>
      <w:r>
        <w:rPr>
          <w:rFonts w:ascii="PT Sans" w:hAnsi="PT Sans"/>
        </w:rPr>
        <w:t>КазНЦ</w:t>
      </w:r>
      <w:proofErr w:type="spellEnd"/>
      <w:r>
        <w:rPr>
          <w:rFonts w:ascii="PT Sans" w:hAnsi="PT Sans"/>
        </w:rPr>
        <w:t xml:space="preserve"> РАН </w:t>
      </w:r>
      <w:proofErr w:type="spellStart"/>
      <w:r>
        <w:rPr>
          <w:rFonts w:ascii="PT Sans" w:hAnsi="PT Sans"/>
          <w:b/>
          <w:bCs/>
        </w:rPr>
        <w:t>Махмут</w:t>
      </w:r>
      <w:proofErr w:type="spellEnd"/>
      <w:r>
        <w:rPr>
          <w:rFonts w:ascii="PT Sans" w:hAnsi="PT Sans"/>
          <w:b/>
          <w:bCs/>
        </w:rPr>
        <w:t xml:space="preserve"> Якубов</w:t>
      </w:r>
      <w:r>
        <w:rPr>
          <w:rFonts w:ascii="PT Sans" w:hAnsi="PT Sans"/>
        </w:rPr>
        <w:t xml:space="preserve">. Особое внимание докладчик уделил сравнительным характеристикам окисленных и остаточных битумов и природного битума </w:t>
      </w:r>
      <w:proofErr w:type="spellStart"/>
      <w:r>
        <w:rPr>
          <w:rFonts w:ascii="PT Sans" w:hAnsi="PT Sans"/>
        </w:rPr>
        <w:t>тринидад</w:t>
      </w:r>
      <w:proofErr w:type="spellEnd"/>
      <w:r>
        <w:rPr>
          <w:rFonts w:ascii="PT Sans" w:hAnsi="PT Sans"/>
        </w:rPr>
        <w:t xml:space="preserve">. </w:t>
      </w:r>
    </w:p>
    <w:p w:rsidR="006D39A1" w:rsidRDefault="006D39A1" w:rsidP="006D39A1">
      <w:pPr>
        <w:jc w:val="center"/>
        <w:rPr>
          <w:rFonts w:ascii="PT Sans" w:eastAsia="PT Sans" w:hAnsi="PT Sans" w:cs="PT Sans"/>
        </w:rPr>
      </w:pPr>
      <w:r>
        <w:rPr>
          <w:rFonts w:ascii="PT Sans" w:hAnsi="PT Sans"/>
        </w:rPr>
        <w:pict>
          <v:shape id="_x0000_i1029" type="#_x0000_t75" style="width:339pt;height:174.75pt">
            <v:imagedata r:id="rId12" o:title="bitumen17graf5"/>
          </v:shape>
        </w:pict>
      </w:r>
    </w:p>
    <w:p w:rsidR="00DF72FC" w:rsidRPr="00DF72FC" w:rsidRDefault="00DF72FC" w:rsidP="00DF72FC">
      <w:pPr>
        <w:jc w:val="both"/>
        <w:rPr>
          <w:rFonts w:ascii="PT Sans" w:hAnsi="PT Sans"/>
        </w:rPr>
      </w:pPr>
      <w:r w:rsidRPr="00DF72FC">
        <w:rPr>
          <w:rFonts w:ascii="PT Sans" w:hAnsi="PT Sans"/>
        </w:rPr>
        <w:lastRenderedPageBreak/>
        <w:t>Экспериментальные результаты, полученные отечественными разработчиками новых модифицированных составов битумов, показывают улучшение ряда эксплуатационных характеристик (устойчивость к температурно-динамическим нагрузкам, «старению»). А предварительные патентные исследования и контакты с крупнейшими производителями полимерных модификаторов битума (</w:t>
      </w:r>
      <w:proofErr w:type="spellStart"/>
      <w:r w:rsidRPr="00DF72FC">
        <w:rPr>
          <w:rFonts w:ascii="PT Sans" w:hAnsi="PT Sans"/>
        </w:rPr>
        <w:t>Kraton</w:t>
      </w:r>
      <w:proofErr w:type="spellEnd"/>
      <w:r w:rsidRPr="00DF72FC">
        <w:rPr>
          <w:rFonts w:ascii="PT Sans" w:hAnsi="PT Sans"/>
        </w:rPr>
        <w:t xml:space="preserve"> </w:t>
      </w:r>
      <w:proofErr w:type="spellStart"/>
      <w:r w:rsidRPr="00DF72FC">
        <w:rPr>
          <w:rFonts w:ascii="PT Sans" w:hAnsi="PT Sans"/>
        </w:rPr>
        <w:t>Polymers</w:t>
      </w:r>
      <w:proofErr w:type="spellEnd"/>
      <w:r w:rsidRPr="00DF72FC">
        <w:rPr>
          <w:rFonts w:ascii="PT Sans" w:hAnsi="PT Sans"/>
        </w:rPr>
        <w:t xml:space="preserve">, </w:t>
      </w:r>
      <w:proofErr w:type="spellStart"/>
      <w:r w:rsidRPr="00DF72FC">
        <w:rPr>
          <w:rFonts w:ascii="PT Sans" w:hAnsi="PT Sans"/>
        </w:rPr>
        <w:t>Bayer</w:t>
      </w:r>
      <w:proofErr w:type="spellEnd"/>
      <w:r w:rsidRPr="00DF72FC">
        <w:rPr>
          <w:rFonts w:ascii="PT Sans" w:hAnsi="PT Sans"/>
        </w:rPr>
        <w:t xml:space="preserve">, </w:t>
      </w:r>
      <w:proofErr w:type="spellStart"/>
      <w:r w:rsidRPr="00DF72FC">
        <w:rPr>
          <w:rFonts w:ascii="PT Sans" w:hAnsi="PT Sans"/>
        </w:rPr>
        <w:t>Shell</w:t>
      </w:r>
      <w:proofErr w:type="spellEnd"/>
      <w:r w:rsidRPr="00DF72FC">
        <w:rPr>
          <w:rFonts w:ascii="PT Sans" w:hAnsi="PT Sans"/>
        </w:rPr>
        <w:t>) подчеркивают перспективность и «</w:t>
      </w:r>
      <w:proofErr w:type="spellStart"/>
      <w:r w:rsidRPr="00DF72FC">
        <w:rPr>
          <w:rFonts w:ascii="PT Sans" w:hAnsi="PT Sans"/>
        </w:rPr>
        <w:t>патентопригодность</w:t>
      </w:r>
      <w:proofErr w:type="spellEnd"/>
      <w:r w:rsidRPr="00DF72FC">
        <w:rPr>
          <w:rFonts w:ascii="PT Sans" w:hAnsi="PT Sans"/>
        </w:rPr>
        <w:t>» данного направления на международном уровне.</w:t>
      </w:r>
    </w:p>
    <w:p w:rsidR="00DF72FC" w:rsidRPr="00DF72FC" w:rsidRDefault="00DF72FC" w:rsidP="00DF72FC">
      <w:pPr>
        <w:jc w:val="both"/>
        <w:rPr>
          <w:rFonts w:ascii="PT Sans" w:hAnsi="PT Sans"/>
        </w:rPr>
      </w:pPr>
      <w:r w:rsidRPr="00DF72FC">
        <w:rPr>
          <w:rFonts w:ascii="PT Sans" w:hAnsi="PT Sans"/>
        </w:rPr>
        <w:t xml:space="preserve">По мнению руководителя Центра развития </w:t>
      </w:r>
      <w:r>
        <w:rPr>
          <w:rFonts w:ascii="PT Sans" w:hAnsi="PT Sans"/>
        </w:rPr>
        <w:t>взаимодействия с бизнесом НИТУ «</w:t>
      </w:r>
      <w:proofErr w:type="spellStart"/>
      <w:r>
        <w:rPr>
          <w:rFonts w:ascii="PT Sans" w:hAnsi="PT Sans"/>
        </w:rPr>
        <w:t>МИСиС</w:t>
      </w:r>
      <w:proofErr w:type="spellEnd"/>
      <w:r>
        <w:rPr>
          <w:rFonts w:ascii="PT Sans" w:hAnsi="PT Sans"/>
        </w:rPr>
        <w:t>», эксперта ФДА «</w:t>
      </w:r>
      <w:proofErr w:type="spellStart"/>
      <w:r>
        <w:rPr>
          <w:rFonts w:ascii="PT Sans" w:hAnsi="PT Sans"/>
        </w:rPr>
        <w:t>Росавтодор</w:t>
      </w:r>
      <w:proofErr w:type="spellEnd"/>
      <w:r>
        <w:rPr>
          <w:rFonts w:ascii="PT Sans" w:hAnsi="PT Sans"/>
        </w:rPr>
        <w:t>»</w:t>
      </w:r>
      <w:r w:rsidRPr="00DF72FC">
        <w:rPr>
          <w:rFonts w:ascii="PT Sans" w:hAnsi="PT Sans"/>
        </w:rPr>
        <w:t xml:space="preserve"> и Международного транспортного альянса</w:t>
      </w:r>
      <w:r>
        <w:rPr>
          <w:rFonts w:ascii="PT Sans" w:hAnsi="PT Sans"/>
        </w:rPr>
        <w:t xml:space="preserve"> «Один пояс - один путь»</w:t>
      </w:r>
      <w:r w:rsidRPr="00DF72FC">
        <w:rPr>
          <w:rFonts w:ascii="PT Sans" w:hAnsi="PT Sans"/>
        </w:rPr>
        <w:t xml:space="preserve">  </w:t>
      </w:r>
      <w:r w:rsidRPr="00DF72FC">
        <w:rPr>
          <w:rFonts w:ascii="PT Sans" w:hAnsi="PT Sans"/>
          <w:b/>
        </w:rPr>
        <w:t xml:space="preserve">Станислава </w:t>
      </w:r>
      <w:proofErr w:type="spellStart"/>
      <w:r w:rsidRPr="00DF72FC">
        <w:rPr>
          <w:rFonts w:ascii="PT Sans" w:hAnsi="PT Sans"/>
          <w:b/>
        </w:rPr>
        <w:t>Мамулат</w:t>
      </w:r>
      <w:r w:rsidR="00E14C3E">
        <w:rPr>
          <w:rFonts w:ascii="PT Sans" w:hAnsi="PT Sans"/>
          <w:b/>
        </w:rPr>
        <w:t>а</w:t>
      </w:r>
      <w:proofErr w:type="spellEnd"/>
      <w:r w:rsidRPr="00DF72FC">
        <w:rPr>
          <w:rFonts w:ascii="PT Sans" w:hAnsi="PT Sans"/>
        </w:rPr>
        <w:t xml:space="preserve">, среди наиболее перспективных подходов в создании битумных вяжущих можно отметить применение углеродных </w:t>
      </w:r>
      <w:proofErr w:type="spellStart"/>
      <w:r w:rsidRPr="00DF72FC">
        <w:rPr>
          <w:rFonts w:ascii="PT Sans" w:hAnsi="PT Sans"/>
        </w:rPr>
        <w:t>нанотрубок</w:t>
      </w:r>
      <w:proofErr w:type="spellEnd"/>
      <w:r w:rsidRPr="00DF72FC">
        <w:rPr>
          <w:rFonts w:ascii="PT Sans" w:hAnsi="PT Sans"/>
        </w:rPr>
        <w:t xml:space="preserve"> для модификации особо «жестких» и вязких битумов.</w:t>
      </w:r>
      <w:bookmarkStart w:id="0" w:name="_GoBack"/>
      <w:bookmarkEnd w:id="0"/>
    </w:p>
    <w:p w:rsidR="00DF72FC" w:rsidRDefault="00DF72FC" w:rsidP="00DF72FC">
      <w:pPr>
        <w:jc w:val="both"/>
        <w:rPr>
          <w:rFonts w:ascii="PT Sans" w:hAnsi="PT Sans"/>
        </w:rPr>
      </w:pPr>
      <w:r w:rsidRPr="00DF72FC">
        <w:rPr>
          <w:rFonts w:ascii="PT Sans" w:hAnsi="PT Sans"/>
        </w:rPr>
        <w:t>Эксперт у</w:t>
      </w:r>
      <w:r>
        <w:rPr>
          <w:rFonts w:ascii="PT Sans" w:hAnsi="PT Sans"/>
        </w:rPr>
        <w:t>тверждает, что «композитная» и «</w:t>
      </w:r>
      <w:proofErr w:type="spellStart"/>
      <w:r w:rsidRPr="00DF72FC">
        <w:rPr>
          <w:rFonts w:ascii="PT Sans" w:hAnsi="PT Sans"/>
        </w:rPr>
        <w:t>самоз</w:t>
      </w:r>
      <w:r>
        <w:rPr>
          <w:rFonts w:ascii="PT Sans" w:hAnsi="PT Sans"/>
        </w:rPr>
        <w:t>алечиваемая</w:t>
      </w:r>
      <w:proofErr w:type="spellEnd"/>
      <w:r>
        <w:rPr>
          <w:rFonts w:ascii="PT Sans" w:hAnsi="PT Sans"/>
        </w:rPr>
        <w:t>»</w:t>
      </w:r>
      <w:r w:rsidRPr="00DF72FC">
        <w:rPr>
          <w:rFonts w:ascii="PT Sans" w:hAnsi="PT Sans"/>
        </w:rPr>
        <w:t xml:space="preserve"> модель анализа и подбора составов асфальтобетона определяет</w:t>
      </w:r>
      <w:r>
        <w:rPr>
          <w:rFonts w:ascii="PT Sans" w:hAnsi="PT Sans"/>
        </w:rPr>
        <w:t xml:space="preserve"> особое внимание, которое НИТУ «</w:t>
      </w:r>
      <w:proofErr w:type="spellStart"/>
      <w:r>
        <w:rPr>
          <w:rFonts w:ascii="PT Sans" w:hAnsi="PT Sans"/>
        </w:rPr>
        <w:t>МИСиС</w:t>
      </w:r>
      <w:proofErr w:type="spellEnd"/>
      <w:r>
        <w:rPr>
          <w:rFonts w:ascii="PT Sans" w:hAnsi="PT Sans"/>
        </w:rPr>
        <w:t>»</w:t>
      </w:r>
      <w:r w:rsidRPr="00DF72FC">
        <w:rPr>
          <w:rFonts w:ascii="PT Sans" w:hAnsi="PT Sans"/>
        </w:rPr>
        <w:t xml:space="preserve"> уделяет исследованиям, посвященным </w:t>
      </w:r>
      <w:proofErr w:type="spellStart"/>
      <w:r w:rsidRPr="00DF72FC">
        <w:rPr>
          <w:rFonts w:ascii="PT Sans" w:hAnsi="PT Sans"/>
        </w:rPr>
        <w:t>наномодификации</w:t>
      </w:r>
      <w:proofErr w:type="spellEnd"/>
      <w:r w:rsidRPr="00DF72FC">
        <w:rPr>
          <w:rFonts w:ascii="PT Sans" w:hAnsi="PT Sans"/>
        </w:rPr>
        <w:t xml:space="preserve"> битума: введению, наряду с адгезивно-пластифицирующими добавками, армирующих высокодисперсных индукционно-восприимчивых материалов.</w:t>
      </w:r>
    </w:p>
    <w:p w:rsidR="007A507D" w:rsidRDefault="00656BD4" w:rsidP="00DF72FC">
      <w:pPr>
        <w:jc w:val="both"/>
        <w:rPr>
          <w:rFonts w:ascii="PT Sans" w:eastAsia="PT Sans" w:hAnsi="PT Sans" w:cs="PT Sans"/>
        </w:rPr>
      </w:pPr>
      <w:r>
        <w:rPr>
          <w:rFonts w:ascii="PT Sans" w:hAnsi="PT Sans"/>
        </w:rPr>
        <w:t>В нынешних реалиях, когда большей части произво</w:t>
      </w:r>
      <w:proofErr w:type="gramStart"/>
      <w:r>
        <w:rPr>
          <w:rFonts w:ascii="PT Sans" w:hAnsi="PT Sans"/>
        </w:rPr>
        <w:t>дств гр</w:t>
      </w:r>
      <w:proofErr w:type="gramEnd"/>
      <w:r>
        <w:rPr>
          <w:rFonts w:ascii="PT Sans" w:hAnsi="PT Sans"/>
        </w:rPr>
        <w:t xml:space="preserve">озит модернизация, особенно актуальным становится вопрос финансирования. С завершающим докладом выступил официальный представитель </w:t>
      </w:r>
      <w:r>
        <w:rPr>
          <w:rFonts w:ascii="PT Sans" w:hAnsi="PT Sans"/>
          <w:lang w:val="en-US"/>
        </w:rPr>
        <w:t>CREON</w:t>
      </w:r>
      <w:r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Capital</w:t>
      </w:r>
      <w:r>
        <w:rPr>
          <w:rFonts w:ascii="PT Sans" w:hAnsi="PT Sans"/>
        </w:rPr>
        <w:t xml:space="preserve"> в России </w:t>
      </w:r>
      <w:r>
        <w:rPr>
          <w:rFonts w:ascii="PT Sans" w:hAnsi="PT Sans"/>
          <w:b/>
          <w:bCs/>
        </w:rPr>
        <w:t>Илья Елагин.</w:t>
      </w:r>
      <w:r>
        <w:rPr>
          <w:rFonts w:ascii="PT Sans" w:hAnsi="PT Sans"/>
        </w:rPr>
        <w:t xml:space="preserve"> Эксперт резюмирует, что существует несколько способов финансирования проектов в нефтепереработке: банк, открытый рынок и частный капитал, а фонд CREON </w:t>
      </w:r>
      <w:proofErr w:type="spellStart"/>
      <w:r>
        <w:rPr>
          <w:rFonts w:ascii="PT Sans" w:hAnsi="PT Sans"/>
        </w:rPr>
        <w:t>Energy</w:t>
      </w:r>
      <w:proofErr w:type="spellEnd"/>
      <w:r>
        <w:rPr>
          <w:rFonts w:ascii="PT Sans" w:hAnsi="PT Sans"/>
        </w:rPr>
        <w:t xml:space="preserve"> может инвестировать совместно с партнерами и помочь в реализации проектов.</w:t>
      </w:r>
    </w:p>
    <w:p w:rsidR="007A507D" w:rsidRPr="006F0814" w:rsidRDefault="006F0814" w:rsidP="00DF72FC">
      <w:pPr>
        <w:jc w:val="both"/>
        <w:rPr>
          <w:rFonts w:ascii="PT Sans" w:hAnsi="PT Sans"/>
        </w:rPr>
      </w:pPr>
      <w:r w:rsidRPr="006F0814">
        <w:rPr>
          <w:rFonts w:ascii="PT Sans" w:hAnsi="PT Sans"/>
        </w:rPr>
        <w:t xml:space="preserve">В заключение форума Станислав </w:t>
      </w:r>
      <w:proofErr w:type="spellStart"/>
      <w:r w:rsidRPr="006F0814">
        <w:rPr>
          <w:rFonts w:ascii="PT Sans" w:hAnsi="PT Sans"/>
        </w:rPr>
        <w:t>Мамулат</w:t>
      </w:r>
      <w:proofErr w:type="spellEnd"/>
      <w:r w:rsidRPr="006F0814">
        <w:rPr>
          <w:rFonts w:ascii="PT Sans" w:hAnsi="PT Sans"/>
        </w:rPr>
        <w:t xml:space="preserve"> сообщил, что министром транспорта принято решение о создании </w:t>
      </w:r>
      <w:proofErr w:type="spellStart"/>
      <w:r w:rsidRPr="006F0814">
        <w:rPr>
          <w:rFonts w:ascii="PT Sans" w:hAnsi="PT Sans"/>
        </w:rPr>
        <w:t>инновационно</w:t>
      </w:r>
      <w:proofErr w:type="spellEnd"/>
      <w:r w:rsidRPr="006F0814">
        <w:rPr>
          <w:rFonts w:ascii="PT Sans" w:hAnsi="PT Sans"/>
        </w:rPr>
        <w:t>-технологического кластера Минтранса России на базе российского университета транспорта МИИТ, где планируется создать платформу для освоения и воспроизводства научно-технических компетенций в области разработки и применения высокотехнологичных материалов. Процесс планирования, согласования и выполнения работ по внедрению инновационной продукции предполагает, наряду с выполнением указаний Министерства, как межведомственное взаимодействие, так и взаимодействие с производителями и потребителями реального сектора.</w:t>
      </w:r>
    </w:p>
    <w:sectPr w:rsidR="007A507D" w:rsidRPr="006F0814">
      <w:headerReference w:type="default" r:id="rId13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A7" w:rsidRDefault="007A33A7">
      <w:pPr>
        <w:spacing w:after="0" w:line="240" w:lineRule="auto"/>
      </w:pPr>
      <w:r>
        <w:separator/>
      </w:r>
    </w:p>
  </w:endnote>
  <w:endnote w:type="continuationSeparator" w:id="0">
    <w:p w:rsidR="007A33A7" w:rsidRDefault="007A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A7" w:rsidRDefault="007A33A7">
      <w:pPr>
        <w:spacing w:after="0" w:line="240" w:lineRule="auto"/>
      </w:pPr>
      <w:r>
        <w:separator/>
      </w:r>
    </w:p>
  </w:footnote>
  <w:footnote w:type="continuationSeparator" w:id="0">
    <w:p w:rsidR="007A33A7" w:rsidRDefault="007A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color w:val="auto"/>
        <w:sz w:val="22"/>
        <w:szCs w:val="22"/>
      </w:rPr>
      <w:id w:val="229659192"/>
      <w:docPartObj>
        <w:docPartGallery w:val="Page Numbers (Top of Page)"/>
        <w:docPartUnique/>
      </w:docPartObj>
    </w:sdtPr>
    <w:sdtEndPr>
      <w:rPr>
        <w:rFonts w:asciiTheme="majorHAnsi" w:eastAsiaTheme="majorEastAsia" w:hAnsiTheme="majorHAnsi" w:cstheme="majorBidi"/>
        <w:i/>
        <w:iCs/>
        <w:color w:val="BFBFBF" w:themeColor="background1" w:themeShade="BF"/>
        <w:sz w:val="72"/>
        <w:szCs w:val="72"/>
      </w:rPr>
    </w:sdtEndPr>
    <w:sdtContent>
      <w:p w:rsidR="007A507D" w:rsidRPr="003A24D6" w:rsidRDefault="003A24D6">
        <w:pPr>
          <w:pStyle w:val="a4"/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</w:rPr>
        </w:pP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fldChar w:fldCharType="separate"/>
        </w:r>
        <w:r w:rsidR="006D39A1" w:rsidRPr="006D39A1">
          <w:rPr>
            <w:rFonts w:asciiTheme="majorHAnsi" w:eastAsiaTheme="majorEastAsia" w:hAnsiTheme="majorHAnsi" w:cstheme="majorBidi" w:hint="eastAsia"/>
            <w:i/>
            <w:iCs/>
            <w:noProof/>
            <w:color w:val="BFBFBF" w:themeColor="background1" w:themeShade="BF"/>
            <w:spacing w:val="-40"/>
            <w:sz w:val="72"/>
            <w:szCs w:val="72"/>
          </w:rPr>
          <w:t>6</w:t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pacing w:val="-40"/>
            <w:sz w:val="72"/>
            <w:szCs w:val="72"/>
          </w:rPr>
          <w:fldChar w:fldCharType="end"/>
        </w:r>
        <w:r>
          <w:rPr>
            <w:rFonts w:asciiTheme="majorHAnsi" w:eastAsiaTheme="majorEastAsia" w:hAnsiTheme="majorHAnsi" w:cstheme="majorBidi"/>
            <w:i/>
            <w:iCs/>
            <w:color w:val="BFBFBF" w:themeColor="background1" w:themeShade="BF"/>
            <w:sz w:val="72"/>
            <w:szCs w:val="72"/>
          </w:rPr>
          <w:t>: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507D"/>
    <w:rsid w:val="00052F41"/>
    <w:rsid w:val="000C2683"/>
    <w:rsid w:val="000F4AC6"/>
    <w:rsid w:val="00153644"/>
    <w:rsid w:val="00183164"/>
    <w:rsid w:val="00266A70"/>
    <w:rsid w:val="002C4EB0"/>
    <w:rsid w:val="002C559E"/>
    <w:rsid w:val="002D230F"/>
    <w:rsid w:val="00313383"/>
    <w:rsid w:val="003A24D6"/>
    <w:rsid w:val="004426D0"/>
    <w:rsid w:val="0061468E"/>
    <w:rsid w:val="00656BD4"/>
    <w:rsid w:val="006D39A1"/>
    <w:rsid w:val="006F0814"/>
    <w:rsid w:val="007A33A7"/>
    <w:rsid w:val="007A507D"/>
    <w:rsid w:val="007E5BB8"/>
    <w:rsid w:val="0081096A"/>
    <w:rsid w:val="00810A26"/>
    <w:rsid w:val="00BB12BC"/>
    <w:rsid w:val="00BF52B1"/>
    <w:rsid w:val="00C55B9B"/>
    <w:rsid w:val="00C7568B"/>
    <w:rsid w:val="00CF4691"/>
    <w:rsid w:val="00D307C3"/>
    <w:rsid w:val="00D367D8"/>
    <w:rsid w:val="00D954FA"/>
    <w:rsid w:val="00DC4E06"/>
    <w:rsid w:val="00DF72FC"/>
    <w:rsid w:val="00E14C3E"/>
    <w:rsid w:val="00EC777D"/>
    <w:rsid w:val="00F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A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4D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3A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4D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A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4D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3A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4D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C0E7-F82C-4ADE-9BD5-A979D66D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V. Andriyanova</dc:creator>
  <cp:lastModifiedBy>Polina V. Andriyanova</cp:lastModifiedBy>
  <cp:revision>29</cp:revision>
  <dcterms:created xsi:type="dcterms:W3CDTF">2017-12-11T06:42:00Z</dcterms:created>
  <dcterms:modified xsi:type="dcterms:W3CDTF">2017-12-15T09:42:00Z</dcterms:modified>
</cp:coreProperties>
</file>