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64" w:lineRule="auto"/>
        <w:jc w:val="center"/>
        <w:textAlignment w:val="auto"/>
        <w:rPr>
          <w:rFonts w:hint="eastAsia" w:asciiTheme="majorAscii"/>
          <w:b/>
          <w:bCs/>
          <w:sz w:val="24"/>
          <w:szCs w:val="24"/>
        </w:rPr>
      </w:pPr>
      <w:r>
        <w:rPr>
          <w:rFonts w:hint="eastAsia" w:asciiTheme="majorAscii"/>
          <w:b/>
          <w:bCs/>
          <w:sz w:val="24"/>
          <w:szCs w:val="24"/>
        </w:rPr>
        <w:t>Building Block Synthesis</w:t>
      </w:r>
    </w:p>
    <w:p>
      <w:pPr>
        <w:keepNext w:val="0"/>
        <w:keepLines w:val="0"/>
        <w:pageBreakBefore w:val="0"/>
        <w:widowControl w:val="0"/>
        <w:kinsoku/>
        <w:wordWrap/>
        <w:overflowPunct/>
        <w:topLinePunct w:val="0"/>
        <w:autoSpaceDE/>
        <w:autoSpaceDN/>
        <w:bidi w:val="0"/>
        <w:adjustRightInd w:val="0"/>
        <w:snapToGrid w:val="0"/>
        <w:spacing w:line="264" w:lineRule="auto"/>
        <w:jc w:val="center"/>
        <w:textAlignment w:val="auto"/>
        <w:rPr>
          <w:rFonts w:hint="eastAsia" w:asciiTheme="majorAscii"/>
          <w:b/>
          <w:bCs/>
          <w:sz w:val="24"/>
          <w:szCs w:val="24"/>
        </w:rPr>
      </w:pPr>
    </w:p>
    <w:p>
      <w:pPr>
        <w:keepNext w:val="0"/>
        <w:keepLines w:val="0"/>
        <w:pageBreakBefore w:val="0"/>
        <w:widowControl w:val="0"/>
        <w:kinsoku/>
        <w:wordWrap/>
        <w:overflowPunct/>
        <w:topLinePunct w:val="0"/>
        <w:autoSpaceDE/>
        <w:autoSpaceDN/>
        <w:bidi w:val="0"/>
        <w:adjustRightInd w:val="0"/>
        <w:snapToGrid w:val="0"/>
        <w:spacing w:line="264" w:lineRule="auto"/>
        <w:jc w:val="both"/>
        <w:textAlignment w:val="auto"/>
        <w:rPr>
          <w:rFonts w:hint="eastAsia" w:asciiTheme="majorAscii" w:eastAsiaTheme="minorEastAsia"/>
          <w:sz w:val="24"/>
          <w:szCs w:val="24"/>
          <w:lang w:val="en-US" w:eastAsia="zh-CN"/>
        </w:rPr>
      </w:pPr>
      <w:r>
        <w:rPr>
          <w:rFonts w:hint="eastAsia" w:asciiTheme="majorAscii"/>
          <w:sz w:val="24"/>
          <w:szCs w:val="24"/>
        </w:rPr>
        <w:t>Building blocks are important intermediates for many drugs and have major significance in the discovery and synthesis of drugs. Further building blocks as intermediates can be used to synthesize the subsequent drugs or compounds, which can improve or change the properties of the drugs or compounds. BOC Sciences can provide various types of methods to help you in </w:t>
      </w:r>
      <w:r>
        <w:rPr>
          <w:rFonts w:hint="eastAsia" w:asciiTheme="majorAscii"/>
          <w:sz w:val="24"/>
          <w:szCs w:val="24"/>
        </w:rPr>
        <w:fldChar w:fldCharType="begin"/>
      </w:r>
      <w:r>
        <w:rPr>
          <w:rFonts w:hint="eastAsia" w:asciiTheme="majorAscii"/>
          <w:sz w:val="24"/>
          <w:szCs w:val="24"/>
        </w:rPr>
        <w:instrText xml:space="preserve"> HYPERLINK "https://www.bocsci.com/solutions/building-block-synthesis.htm
" </w:instrText>
      </w:r>
      <w:r>
        <w:rPr>
          <w:rFonts w:hint="eastAsia" w:asciiTheme="majorAscii"/>
          <w:sz w:val="24"/>
          <w:szCs w:val="24"/>
        </w:rPr>
        <w:fldChar w:fldCharType="separate"/>
      </w:r>
      <w:r>
        <w:rPr>
          <w:rStyle w:val="3"/>
          <w:rFonts w:hint="eastAsia" w:asciiTheme="majorAscii"/>
          <w:sz w:val="24"/>
          <w:szCs w:val="24"/>
        </w:rPr>
        <w:t>building block synthesis</w:t>
      </w:r>
      <w:r>
        <w:rPr>
          <w:rFonts w:hint="eastAsia" w:asciiTheme="majorAscii"/>
          <w:sz w:val="24"/>
          <w:szCs w:val="24"/>
        </w:rPr>
        <w:fldChar w:fldCharType="end"/>
      </w:r>
      <w:r>
        <w:rPr>
          <w:rFonts w:hint="eastAsia" w:asciiTheme="majorAscii"/>
          <w:sz w:val="24"/>
          <w:szCs w:val="24"/>
        </w:rPr>
        <w:t xml:space="preserve">. </w:t>
      </w:r>
      <w:r>
        <w:rPr>
          <w:rFonts w:hint="eastAsia" w:asciiTheme="majorAscii"/>
          <w:sz w:val="24"/>
          <w:szCs w:val="24"/>
          <w:lang w:val="en-US" w:eastAsia="zh-CN"/>
        </w:rPr>
        <w:t>The company</w:t>
      </w:r>
      <w:r>
        <w:rPr>
          <w:rFonts w:hint="eastAsia" w:asciiTheme="majorAscii"/>
          <w:sz w:val="24"/>
          <w:szCs w:val="24"/>
        </w:rPr>
        <w:t xml:space="preserve"> are expert at designing the routine and using multiple techniques (NMR, LCMS, GCMS, and X-ray) to analyze compounds after the building block synthesis completed.</w:t>
      </w:r>
      <w:r>
        <w:rPr>
          <w:rFonts w:hint="eastAsia" w:asciiTheme="majorAscii"/>
          <w:sz w:val="24"/>
          <w:szCs w:val="24"/>
          <w:lang w:val="en-US" w:eastAsia="zh-CN"/>
        </w:rPr>
        <w:t xml:space="preserve"> For more information, visit www.bocsci.com/solutions/building-block-synthesis.htm.</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86E33"/>
    <w:rsid w:val="3A5A65BF"/>
    <w:rsid w:val="3C1040EB"/>
    <w:rsid w:val="67A913FB"/>
    <w:rsid w:val="6DCD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峰回路转</dc:creator>
  <cp:lastModifiedBy>Violet WEI</cp:lastModifiedBy>
  <dcterms:modified xsi:type="dcterms:W3CDTF">2019-02-27T10:23:36Z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