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jc w:val="center"/>
        <w:tblInd w:w="-1944" w:type="dxa"/>
        <w:tblBorders>
          <w:top w:val="none" w:sz="0" w:space="0" w:color="auto"/>
          <w:left w:val="none" w:sz="0" w:space="0" w:color="auto"/>
          <w:bottom w:val="thickThinSmallGap" w:sz="24" w:space="0" w:color="000099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2"/>
        <w:gridCol w:w="6688"/>
      </w:tblGrid>
      <w:tr w:rsidR="005A14DC" w:rsidRPr="005A14DC" w:rsidTr="00EE58EF">
        <w:trPr>
          <w:jc w:val="center"/>
        </w:trPr>
        <w:tc>
          <w:tcPr>
            <w:tcW w:w="3801" w:type="dxa"/>
            <w:vAlign w:val="center"/>
          </w:tcPr>
          <w:p w:rsidR="002910C3" w:rsidRPr="005A14DC" w:rsidRDefault="002910C3" w:rsidP="000B0AAB">
            <w:pPr>
              <w:rPr>
                <w:color w:val="000099"/>
              </w:rPr>
            </w:pPr>
            <w:r w:rsidRPr="005A14DC">
              <w:rPr>
                <w:noProof/>
                <w:color w:val="000099"/>
                <w:lang w:eastAsia="ru-RU"/>
              </w:rPr>
              <w:drawing>
                <wp:inline distT="0" distB="0" distL="0" distR="0">
                  <wp:extent cx="2276606" cy="167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59" cy="166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0DF3" w:rsidRDefault="00EA0DF3" w:rsidP="004F11AF">
            <w:pPr>
              <w:rPr>
                <w:sz w:val="17"/>
                <w:szCs w:val="17"/>
              </w:rPr>
            </w:pPr>
          </w:p>
          <w:p w:rsidR="002910C3" w:rsidRPr="006A16E2" w:rsidRDefault="002910C3" w:rsidP="006A16E2">
            <w:pPr>
              <w:jc w:val="center"/>
              <w:rPr>
                <w:b/>
                <w:i/>
                <w:color w:val="000099"/>
              </w:rPr>
            </w:pPr>
          </w:p>
        </w:tc>
        <w:tc>
          <w:tcPr>
            <w:tcW w:w="6689" w:type="dxa"/>
          </w:tcPr>
          <w:p w:rsidR="00547EDF" w:rsidRPr="00FD6B73" w:rsidRDefault="00B16A00" w:rsidP="000B0AAB">
            <w:pPr>
              <w:jc w:val="center"/>
              <w:rPr>
                <w:b/>
                <w:i/>
                <w:color w:val="002060"/>
              </w:rPr>
            </w:pPr>
            <w:r w:rsidRPr="00FD6B73">
              <w:rPr>
                <w:b/>
                <w:i/>
                <w:color w:val="002060"/>
              </w:rPr>
              <w:t xml:space="preserve">ИНДИВИДУАЛЬНЫЙ ПРЕДПРИНИМАТЕЛЬ </w:t>
            </w:r>
          </w:p>
          <w:p w:rsidR="002910C3" w:rsidRPr="00FD6B73" w:rsidRDefault="00B16A00" w:rsidP="000B0AAB">
            <w:pPr>
              <w:jc w:val="center"/>
              <w:rPr>
                <w:b/>
                <w:i/>
                <w:color w:val="002060"/>
              </w:rPr>
            </w:pPr>
            <w:r w:rsidRPr="00FD6B73">
              <w:rPr>
                <w:b/>
                <w:i/>
                <w:color w:val="002060"/>
              </w:rPr>
              <w:t>МАНКЕВИЧ АЛЕКСЕЙ ПАВЛОВИЧ</w:t>
            </w: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FD6B73">
              <w:rPr>
                <w:b/>
                <w:i/>
                <w:color w:val="002060"/>
                <w:sz w:val="16"/>
                <w:szCs w:val="16"/>
              </w:rPr>
              <w:t>ИНН 400402679834, ОГРНИП 311400430500023, ОКПО 0177009322</w:t>
            </w:r>
          </w:p>
          <w:p w:rsidR="007245C4" w:rsidRPr="00FD6B73" w:rsidRDefault="007245C4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FD6B73">
              <w:rPr>
                <w:b/>
                <w:i/>
                <w:color w:val="002060"/>
                <w:sz w:val="16"/>
                <w:szCs w:val="16"/>
              </w:rPr>
              <w:t>Банковские реквизиты:</w:t>
            </w:r>
          </w:p>
          <w:p w:rsidR="002910C3" w:rsidRPr="00FD6B73" w:rsidRDefault="002910C3" w:rsidP="000B0AAB">
            <w:pPr>
              <w:jc w:val="center"/>
              <w:rPr>
                <w:rFonts w:cs="Calibri"/>
                <w:b/>
                <w:i/>
                <w:color w:val="002060"/>
                <w:sz w:val="16"/>
                <w:szCs w:val="16"/>
              </w:rPr>
            </w:pPr>
            <w:proofErr w:type="gramStart"/>
            <w:r w:rsidRPr="00FD6B73">
              <w:rPr>
                <w:b/>
                <w:i/>
                <w:color w:val="002060"/>
                <w:sz w:val="16"/>
                <w:szCs w:val="16"/>
              </w:rPr>
              <w:t>р</w:t>
            </w:r>
            <w:proofErr w:type="gramEnd"/>
            <w:r w:rsidRPr="00FD6B73">
              <w:rPr>
                <w:b/>
                <w:i/>
                <w:color w:val="002060"/>
                <w:sz w:val="16"/>
                <w:szCs w:val="16"/>
              </w:rPr>
              <w:t xml:space="preserve">/сч </w:t>
            </w:r>
            <w:r w:rsidRPr="00FD6B73">
              <w:rPr>
                <w:rFonts w:cs="Calibri"/>
                <w:b/>
                <w:i/>
                <w:color w:val="002060"/>
                <w:sz w:val="16"/>
                <w:szCs w:val="16"/>
              </w:rPr>
              <w:t>40802810127030000090</w:t>
            </w:r>
          </w:p>
          <w:p w:rsidR="002910C3" w:rsidRPr="00FD6B73" w:rsidRDefault="002910C3" w:rsidP="000B0AAB">
            <w:pPr>
              <w:jc w:val="center"/>
              <w:rPr>
                <w:rFonts w:cs="Calibri"/>
                <w:b/>
                <w:i/>
                <w:color w:val="002060"/>
                <w:sz w:val="16"/>
                <w:szCs w:val="16"/>
              </w:rPr>
            </w:pPr>
            <w:proofErr w:type="gramStart"/>
            <w:r w:rsidRPr="00FD6B73">
              <w:rPr>
                <w:rFonts w:cs="Calibri"/>
                <w:b/>
                <w:i/>
                <w:color w:val="002060"/>
                <w:sz w:val="16"/>
                <w:szCs w:val="16"/>
              </w:rPr>
              <w:t>КАЛУЖСКИЙ</w:t>
            </w:r>
            <w:proofErr w:type="gramEnd"/>
            <w:r w:rsidRPr="00FD6B73">
              <w:rPr>
                <w:rFonts w:cs="Calibri"/>
                <w:b/>
                <w:i/>
                <w:color w:val="002060"/>
                <w:sz w:val="16"/>
                <w:szCs w:val="16"/>
              </w:rPr>
              <w:t xml:space="preserve"> РФ АО "РОССЕЛЬХОЗБАНК" г. Калуга</w:t>
            </w: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FD6B73">
              <w:rPr>
                <w:rFonts w:cs="Calibri"/>
                <w:b/>
                <w:i/>
                <w:color w:val="002060"/>
                <w:sz w:val="16"/>
                <w:szCs w:val="16"/>
              </w:rPr>
              <w:t>к/сч 30101810100000000780, БИК 042908780</w:t>
            </w: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FD6B73">
              <w:rPr>
                <w:b/>
                <w:i/>
                <w:color w:val="002060"/>
                <w:sz w:val="16"/>
                <w:szCs w:val="16"/>
              </w:rPr>
              <w:t>мобильный телефон: +7 (920) 618-82-13</w:t>
            </w:r>
          </w:p>
          <w:p w:rsidR="002910C3" w:rsidRPr="00FD6B73" w:rsidRDefault="002910C3" w:rsidP="000B0AAB">
            <w:pPr>
              <w:jc w:val="center"/>
              <w:rPr>
                <w:rStyle w:val="a4"/>
                <w:b/>
                <w:i/>
                <w:color w:val="002060"/>
                <w:sz w:val="16"/>
                <w:szCs w:val="16"/>
                <w:u w:val="none"/>
                <w:lang w:val="en-US"/>
              </w:rPr>
            </w:pPr>
            <w:r w:rsidRPr="00FD6B73">
              <w:rPr>
                <w:b/>
                <w:i/>
                <w:color w:val="002060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FD6B73">
                <w:rPr>
                  <w:rStyle w:val="a4"/>
                  <w:b/>
                  <w:i/>
                  <w:color w:val="002060"/>
                  <w:sz w:val="16"/>
                  <w:szCs w:val="16"/>
                  <w:u w:val="none"/>
                  <w:lang w:val="en-US"/>
                </w:rPr>
                <w:t>e.m.polimer40@mail.ru</w:t>
              </w:r>
            </w:hyperlink>
          </w:p>
          <w:p w:rsidR="00FC066B" w:rsidRPr="00FD6B73" w:rsidRDefault="00FC066B" w:rsidP="000B0AAB">
            <w:pPr>
              <w:jc w:val="center"/>
              <w:rPr>
                <w:rStyle w:val="a4"/>
                <w:b/>
                <w:i/>
                <w:color w:val="002060"/>
                <w:sz w:val="16"/>
                <w:szCs w:val="16"/>
                <w:u w:val="none"/>
                <w:lang w:val="en-US"/>
              </w:rPr>
            </w:pPr>
          </w:p>
          <w:p w:rsidR="00547EDF" w:rsidRPr="00FD6B73" w:rsidRDefault="00EC5258" w:rsidP="000B0AAB">
            <w:pPr>
              <w:jc w:val="center"/>
              <w:rPr>
                <w:b/>
                <w:i/>
                <w:color w:val="002060"/>
                <w:sz w:val="16"/>
                <w:szCs w:val="16"/>
                <w:lang w:val="en-US"/>
              </w:rPr>
            </w:pPr>
            <w:hyperlink r:id="rId7" w:history="1">
              <w:r w:rsidR="00FC066B" w:rsidRPr="00FD6B73">
                <w:rPr>
                  <w:rStyle w:val="a4"/>
                  <w:b/>
                  <w:i/>
                  <w:color w:val="002060"/>
                  <w:sz w:val="16"/>
                  <w:szCs w:val="16"/>
                  <w:lang w:val="en-US"/>
                </w:rPr>
                <w:t>https://kaluga.webprorab.com/ip-mankevich-ap</w:t>
              </w:r>
            </w:hyperlink>
          </w:p>
          <w:p w:rsidR="00FC066B" w:rsidRPr="00FD6B73" w:rsidRDefault="00FC066B" w:rsidP="000B0AAB">
            <w:pPr>
              <w:jc w:val="center"/>
              <w:rPr>
                <w:b/>
                <w:i/>
                <w:color w:val="002060"/>
                <w:sz w:val="16"/>
                <w:szCs w:val="16"/>
                <w:lang w:val="en-US"/>
              </w:rPr>
            </w:pPr>
          </w:p>
          <w:p w:rsidR="00547EDF" w:rsidRPr="005A14DC" w:rsidRDefault="00547EDF" w:rsidP="0087764F">
            <w:pPr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 w:rsidRPr="00FD6B73">
              <w:rPr>
                <w:rStyle w:val="a4"/>
                <w:b/>
                <w:i/>
                <w:color w:val="002060"/>
                <w:sz w:val="16"/>
                <w:szCs w:val="16"/>
                <w:u w:val="none"/>
              </w:rPr>
              <w:t xml:space="preserve">Фактический адрес: </w:t>
            </w:r>
            <w:r w:rsidRPr="00FD6B73">
              <w:rPr>
                <w:b/>
                <w:i/>
                <w:color w:val="002060"/>
                <w:sz w:val="16"/>
                <w:szCs w:val="16"/>
              </w:rPr>
              <w:t xml:space="preserve">Калужская область, Дзержинский р-н, п. Товарково </w:t>
            </w:r>
            <w:r w:rsidR="007245C4" w:rsidRPr="00FD6B73">
              <w:rPr>
                <w:b/>
                <w:i/>
                <w:color w:val="002060"/>
                <w:sz w:val="16"/>
                <w:szCs w:val="16"/>
              </w:rPr>
              <w:t>(промзона)</w:t>
            </w:r>
          </w:p>
        </w:tc>
      </w:tr>
    </w:tbl>
    <w:p w:rsidR="00B16A00" w:rsidRDefault="00B16A00" w:rsidP="00FB62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36"/>
          <w:szCs w:val="36"/>
        </w:rPr>
      </w:pPr>
    </w:p>
    <w:p w:rsidR="0080527B" w:rsidRPr="00531351" w:rsidRDefault="00B16A00" w:rsidP="00FB621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36"/>
          <w:szCs w:val="36"/>
        </w:rPr>
      </w:pPr>
      <w:r w:rsidRPr="00531351">
        <w:rPr>
          <w:rFonts w:asciiTheme="majorHAnsi" w:hAnsiTheme="majorHAnsi" w:cs="Times New Roman"/>
          <w:b/>
          <w:i/>
          <w:color w:val="002060"/>
          <w:sz w:val="36"/>
          <w:szCs w:val="36"/>
        </w:rPr>
        <w:t>Коммерческое предложение</w:t>
      </w:r>
    </w:p>
    <w:p w:rsidR="00B16A00" w:rsidRPr="00531351" w:rsidRDefault="00B16A00" w:rsidP="00FB621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36"/>
          <w:szCs w:val="36"/>
        </w:rPr>
      </w:pPr>
      <w:r w:rsidRPr="00531351">
        <w:rPr>
          <w:rFonts w:asciiTheme="majorHAnsi" w:hAnsiTheme="majorHAnsi" w:cs="Times New Roman"/>
          <w:b/>
          <w:i/>
          <w:color w:val="002060"/>
          <w:sz w:val="36"/>
          <w:szCs w:val="36"/>
        </w:rPr>
        <w:t xml:space="preserve">по агломераторам «УНИВЕРСАЛ» (полуавтомат) </w:t>
      </w:r>
    </w:p>
    <w:p w:rsidR="00B16A00" w:rsidRDefault="00B16A00" w:rsidP="00FB621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36"/>
          <w:szCs w:val="36"/>
        </w:rPr>
      </w:pPr>
      <w:r w:rsidRPr="00531351">
        <w:rPr>
          <w:rFonts w:asciiTheme="majorHAnsi" w:hAnsiTheme="majorHAnsi" w:cs="Times New Roman"/>
          <w:b/>
          <w:i/>
          <w:color w:val="002060"/>
          <w:sz w:val="36"/>
          <w:szCs w:val="36"/>
        </w:rPr>
        <w:t>от производителя</w:t>
      </w:r>
    </w:p>
    <w:p w:rsidR="00D76836" w:rsidRPr="00531351" w:rsidRDefault="00D76836" w:rsidP="00FB621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36"/>
          <w:szCs w:val="36"/>
        </w:rPr>
      </w:pPr>
    </w:p>
    <w:tbl>
      <w:tblPr>
        <w:tblStyle w:val="a3"/>
        <w:tblW w:w="4785" w:type="pct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809"/>
        <w:gridCol w:w="2158"/>
        <w:gridCol w:w="2344"/>
        <w:gridCol w:w="2851"/>
      </w:tblGrid>
      <w:tr w:rsidR="001C1485" w:rsidRPr="005678D3" w:rsidTr="00531351">
        <w:trPr>
          <w:tblCellSpacing w:w="20" w:type="dxa"/>
        </w:trPr>
        <w:tc>
          <w:tcPr>
            <w:tcW w:w="1698" w:type="pct"/>
            <w:vAlign w:val="center"/>
          </w:tcPr>
          <w:p w:rsidR="001C1485" w:rsidRPr="005678D3" w:rsidRDefault="00380437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БАЗОВАЯ КОМПЛЕКТАЦИЯ</w:t>
            </w:r>
          </w:p>
        </w:tc>
        <w:tc>
          <w:tcPr>
            <w:tcW w:w="959" w:type="pct"/>
          </w:tcPr>
          <w:p w:rsidR="001C1485" w:rsidRP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A16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«УНИВЕРСАЛ 200ПА»</w:t>
            </w:r>
          </w:p>
          <w:p w:rsidR="001C1485" w:rsidRPr="005A14DC" w:rsidRDefault="001C1485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485" w:rsidRPr="005678D3" w:rsidRDefault="00531351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7642" cy="922351"/>
                  <wp:effectExtent l="19050" t="0" r="0" b="0"/>
                  <wp:docPr id="8" name="Рисунок 7" descr="200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 1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25" cy="9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pct"/>
          </w:tcPr>
          <w:p w:rsidR="001C1485" w:rsidRP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A16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«УНИВЕРСАЛ 300ПА»</w:t>
            </w:r>
          </w:p>
          <w:p w:rsidR="001C1485" w:rsidRP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1C1485" w:rsidRPr="005678D3" w:rsidRDefault="00CA1721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1253" cy="918923"/>
                  <wp:effectExtent l="19050" t="0" r="3147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300П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92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pct"/>
          </w:tcPr>
          <w:p w:rsid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A16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«УНИВЕРСАЛ </w:t>
            </w:r>
          </w:p>
          <w:p w:rsidR="001C1485" w:rsidRP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A16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400ПА»</w:t>
            </w:r>
          </w:p>
          <w:p w:rsidR="001C1485" w:rsidRPr="005A14DC" w:rsidRDefault="001C1485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485" w:rsidRPr="005678D3" w:rsidRDefault="00B16A00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2020" cy="9239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400П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31" cy="92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130-230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  <w:vAlign w:val="center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Перерабатываемый материал</w:t>
            </w:r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ПВД, ПНД,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/П, ПВХ, стрейч, П/П мешки, нетканка, пенополиэтилен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ПВД, ПНД,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/П, ПВХ, стрейч, П/П мешки, нетканка, пенополиэтилен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ПВД, ПНД,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/П, ПВХ, стрейч, П/П мешки, нетканка, пенополиэтилен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Габариты (ДхШхВ), мм</w:t>
            </w:r>
          </w:p>
        </w:tc>
        <w:tc>
          <w:tcPr>
            <w:tcW w:w="959" w:type="pct"/>
          </w:tcPr>
          <w:p w:rsidR="001C1485" w:rsidRPr="005678D3" w:rsidRDefault="001C1485" w:rsidP="00F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3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0х13</w:t>
            </w:r>
            <w:r w:rsidR="00FC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0х</w:t>
            </w:r>
            <w:r w:rsidR="00FC73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43" w:type="pct"/>
            <w:vAlign w:val="center"/>
          </w:tcPr>
          <w:p w:rsidR="001C1485" w:rsidRPr="005678D3" w:rsidRDefault="00F402F2" w:rsidP="00F4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0х10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1" w:type="pct"/>
          </w:tcPr>
          <w:p w:rsidR="001C1485" w:rsidRPr="005678D3" w:rsidRDefault="001C1485" w:rsidP="00F4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2F2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 w:rsidR="00F402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0х</w:t>
            </w:r>
            <w:r w:rsidR="00F402F2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Вес,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9" w:type="pct"/>
          </w:tcPr>
          <w:p w:rsidR="001C1485" w:rsidRPr="005678D3" w:rsidRDefault="00F402F2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905</w:t>
            </w:r>
          </w:p>
        </w:tc>
        <w:tc>
          <w:tcPr>
            <w:tcW w:w="1043" w:type="pct"/>
            <w:vAlign w:val="center"/>
          </w:tcPr>
          <w:p w:rsidR="001C1485" w:rsidRPr="005678D3" w:rsidRDefault="00F402F2" w:rsidP="00B2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6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1" w:type="pct"/>
          </w:tcPr>
          <w:p w:rsidR="001C1485" w:rsidRPr="005678D3" w:rsidRDefault="00F402F2" w:rsidP="00F4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EA0DF3" w:rsidRDefault="001C1485" w:rsidP="00EA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Рабочая емкость</w:t>
            </w:r>
            <w:r w:rsidR="00EA0D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бочка </w:t>
            </w:r>
          </w:p>
          <w:p w:rsidR="001C1485" w:rsidRPr="005678D3" w:rsidRDefault="00EA0DF3" w:rsidP="00EA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высота, диаметр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1000х800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1000х900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1000х1000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Эл.двигатель,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Вт/час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Защита эл.двигателя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  <w:vAlign w:val="center"/>
          </w:tcPr>
          <w:p w:rsidR="001C1485" w:rsidRPr="005678D3" w:rsidRDefault="001C1485" w:rsidP="00531351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Плавный запуск</w:t>
            </w:r>
            <w:r w:rsidR="00D43C7D" w:rsidRPr="00D43C7D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***</w:t>
            </w:r>
          </w:p>
        </w:tc>
        <w:tc>
          <w:tcPr>
            <w:tcW w:w="959" w:type="pct"/>
            <w:vAlign w:val="center"/>
          </w:tcPr>
          <w:p w:rsidR="001C1485" w:rsidRPr="006A16E2" w:rsidRDefault="00D76836" w:rsidP="00BB30E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6A16E2" w:rsidRDefault="00D76836" w:rsidP="00BB30E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  <w:tc>
          <w:tcPr>
            <w:tcW w:w="1211" w:type="pct"/>
            <w:vAlign w:val="center"/>
          </w:tcPr>
          <w:p w:rsidR="001C1485" w:rsidRPr="006A16E2" w:rsidRDefault="00D76836" w:rsidP="00BB30E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Шкаф управления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Силовой шкаф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Водяное охлаждение верхнего подшипника эл.двигателя</w:t>
            </w:r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Ножи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Станины под ножи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  <w:vAlign w:val="center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Пневматический тормоз</w:t>
            </w:r>
            <w:r w:rsidR="00D76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16E2" w:rsidRPr="00D76836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(наше ноу-хау)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Станины агломератора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Выгрузное окно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Пневмовыгрузка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Вес загружаемого материала,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Толщина перерабатываемого материала, микрон</w:t>
            </w:r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5-300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5-300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5-300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Частота вращения ротора,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</w:tr>
      <w:tr w:rsidR="001C1485" w:rsidRPr="005678D3" w:rsidTr="00D76836">
        <w:trPr>
          <w:trHeight w:val="412"/>
          <w:tblCellSpacing w:w="20" w:type="dxa"/>
        </w:trPr>
        <w:tc>
          <w:tcPr>
            <w:tcW w:w="4964" w:type="pct"/>
            <w:gridSpan w:val="4"/>
            <w:shd w:val="clear" w:color="auto" w:fill="DBE5F1" w:themeFill="accent1" w:themeFillTint="33"/>
            <w:vAlign w:val="center"/>
          </w:tcPr>
          <w:p w:rsidR="00D31417" w:rsidRPr="00DC04D1" w:rsidRDefault="00531351" w:rsidP="00531351">
            <w:pPr>
              <w:shd w:val="clear" w:color="auto" w:fill="DBE5F1" w:themeFill="accent1" w:themeFillTint="33"/>
              <w:rPr>
                <w:rFonts w:ascii="Microsoft Sans Serif" w:hAnsi="Microsoft Sans Serif" w:cs="Microsoft Sans Serif"/>
                <w:b/>
                <w:i/>
                <w:color w:val="002060"/>
                <w:sz w:val="24"/>
                <w:szCs w:val="24"/>
                <w:vertAlign w:val="superscript"/>
              </w:rPr>
            </w:pPr>
            <w:r w:rsidRPr="00DC04D1">
              <w:rPr>
                <w:rFonts w:ascii="Microsoft Sans Serif" w:hAnsi="Microsoft Sans Serif" w:cs="Microsoft Sans Serif"/>
                <w:b/>
                <w:i/>
                <w:color w:val="002060"/>
                <w:sz w:val="56"/>
                <w:szCs w:val="56"/>
              </w:rPr>
              <w:t>Видео:</w:t>
            </w:r>
            <w:r w:rsidR="00DC04D1">
              <w:rPr>
                <w:rFonts w:ascii="Microsoft Sans Serif" w:hAnsi="Microsoft Sans Serif" w:cs="Microsoft Sans Serif"/>
                <w:b/>
                <w:i/>
                <w:color w:val="002060"/>
                <w:sz w:val="72"/>
                <w:szCs w:val="72"/>
              </w:rPr>
              <w:t xml:space="preserve"> </w:t>
            </w:r>
            <w:hyperlink r:id="rId11" w:history="1">
              <w:r w:rsidRPr="00DC04D1">
                <w:rPr>
                  <w:rStyle w:val="a4"/>
                  <w:rFonts w:ascii="Microsoft Sans Serif" w:hAnsi="Microsoft Sans Serif" w:cs="Microsoft Sans Serif"/>
                  <w:b/>
                  <w:i/>
                  <w:color w:val="002060"/>
                  <w:sz w:val="36"/>
                  <w:szCs w:val="36"/>
                </w:rPr>
                <w:t>https://www.youtube.com/user/ekomirpolimer/videos</w:t>
              </w:r>
            </w:hyperlink>
          </w:p>
        </w:tc>
      </w:tr>
    </w:tbl>
    <w:p w:rsidR="00382A9D" w:rsidRDefault="00382A9D" w:rsidP="003804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9460"/>
      </w:tblGrid>
      <w:tr w:rsidR="00C171F0" w:rsidRPr="003B737B" w:rsidTr="00C171F0">
        <w:trPr>
          <w:jc w:val="center"/>
        </w:trPr>
        <w:tc>
          <w:tcPr>
            <w:tcW w:w="906" w:type="pct"/>
            <w:vAlign w:val="center"/>
          </w:tcPr>
          <w:p w:rsidR="00C171F0" w:rsidRPr="00D43C7D" w:rsidRDefault="00C171F0" w:rsidP="00C171F0">
            <w:pPr>
              <w:jc w:val="center"/>
              <w:rPr>
                <w:rFonts w:asciiTheme="majorHAnsi" w:hAnsiTheme="majorHAnsi" w:cstheme="minorHAnsi"/>
                <w:b/>
                <w:bCs/>
                <w:color w:val="002060"/>
                <w:sz w:val="18"/>
                <w:szCs w:val="18"/>
                <w:shd w:val="clear" w:color="auto" w:fill="FFFFFF"/>
              </w:rPr>
            </w:pPr>
            <w:r w:rsidRPr="003B737B">
              <w:rPr>
                <w:rFonts w:asciiTheme="majorHAnsi" w:hAnsiTheme="majorHAnsi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77298" cy="937024"/>
                  <wp:effectExtent l="19050" t="0" r="0" b="0"/>
                  <wp:docPr id="14" name="Рисунок 4" descr="https://instart-info.ru/wp-content/uploads/2014/08/%D1%83%D0%BF%D0%BF-200x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start-info.ru/wp-content/uploads/2014/08/%D1%83%D0%BF%D0%BF-200x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51" cy="93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pct"/>
            <w:vAlign w:val="center"/>
          </w:tcPr>
          <w:p w:rsidR="00C171F0" w:rsidRPr="00D43C7D" w:rsidRDefault="00C171F0" w:rsidP="00C171F0">
            <w:pPr>
              <w:rPr>
                <w:rFonts w:asciiTheme="majorHAnsi" w:hAnsiTheme="maj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2060"/>
                <w:sz w:val="18"/>
                <w:szCs w:val="18"/>
                <w:shd w:val="clear" w:color="auto" w:fill="FFFFFF"/>
              </w:rPr>
              <w:t xml:space="preserve">*** </w:t>
            </w:r>
            <w:r w:rsidRPr="00D43C7D">
              <w:rPr>
                <w:rFonts w:asciiTheme="majorHAnsi" w:hAnsiTheme="majorHAnsi" w:cstheme="minorHAnsi"/>
                <w:b/>
                <w:bCs/>
                <w:color w:val="002060"/>
                <w:sz w:val="18"/>
                <w:szCs w:val="18"/>
                <w:shd w:val="clear" w:color="auto" w:fill="FFFFFF"/>
              </w:rPr>
              <w:t xml:space="preserve">Устройство плавного пуска </w:t>
            </w:r>
            <w:r w:rsidRPr="00D43C7D">
              <w:rPr>
                <w:rFonts w:asciiTheme="majorHAnsi" w:hAnsiTheme="majorHAnsi" w:cstheme="minorHAnsi"/>
                <w:b/>
                <w:bCs/>
                <w:color w:val="002060"/>
                <w:sz w:val="18"/>
                <w:szCs w:val="18"/>
                <w:shd w:val="clear" w:color="auto" w:fill="FFFFFF"/>
                <w:lang w:val="en-US"/>
              </w:rPr>
              <w:t>INSTART</w:t>
            </w:r>
            <w:r w:rsidRPr="00D43C7D">
              <w:rPr>
                <w:rFonts w:asciiTheme="majorHAnsi" w:hAnsiTheme="majorHAnsi" w:cstheme="minorHAnsi"/>
                <w:b/>
                <w:bCs/>
                <w:color w:val="002060"/>
                <w:sz w:val="18"/>
                <w:szCs w:val="18"/>
                <w:shd w:val="clear" w:color="auto" w:fill="FFFFFF"/>
              </w:rPr>
              <w:t xml:space="preserve"> серия SSI</w:t>
            </w:r>
          </w:p>
        </w:tc>
      </w:tr>
      <w:tr w:rsidR="00C171F0" w:rsidRPr="003B737B" w:rsidTr="00C171F0">
        <w:trPr>
          <w:jc w:val="center"/>
        </w:trPr>
        <w:tc>
          <w:tcPr>
            <w:tcW w:w="5000" w:type="pct"/>
            <w:gridSpan w:val="2"/>
            <w:vAlign w:val="center"/>
          </w:tcPr>
          <w:p w:rsidR="00C171F0" w:rsidRPr="003B737B" w:rsidRDefault="00C171F0" w:rsidP="003C43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171F0" w:rsidRPr="003B737B" w:rsidTr="00C171F0">
        <w:trPr>
          <w:jc w:val="center"/>
        </w:trPr>
        <w:tc>
          <w:tcPr>
            <w:tcW w:w="5000" w:type="pct"/>
            <w:gridSpan w:val="2"/>
          </w:tcPr>
          <w:p w:rsidR="00C171F0" w:rsidRDefault="00C171F0" w:rsidP="003C4343">
            <w:pPr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C171F0">
              <w:rPr>
                <w:rFonts w:asciiTheme="majorHAnsi" w:hAnsiTheme="majorHAnsi"/>
                <w:bCs/>
                <w:sz w:val="18"/>
                <w:szCs w:val="18"/>
                <w:shd w:val="clear" w:color="auto" w:fill="FFFFFF"/>
              </w:rPr>
              <w:t>Устройства плавного пуска серии SSI</w:t>
            </w:r>
            <w:r w:rsidRPr="00C171F0">
              <w:rPr>
                <w:rFonts w:asciiTheme="majorHAnsi" w:hAnsiTheme="majorHAnsi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C171F0">
              <w:rPr>
                <w:rFonts w:asciiTheme="majorHAnsi" w:hAnsiTheme="majorHAnsi"/>
                <w:bCs/>
                <w:sz w:val="18"/>
                <w:szCs w:val="18"/>
                <w:shd w:val="clear" w:color="auto" w:fill="FFFFFF"/>
              </w:rPr>
              <w:t>п</w:t>
            </w:r>
            <w:r w:rsidRPr="00C171F0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озволит снизить нагрузку на сеть, уменьшить пусковые токи, устранить рывки в механической части привода или гидравлические удары в трубах и задвижках в момент пуска и останова электродвигателей. Тем самым данное устройство повышает срок службы двигателей, уменьшает износ механических деталей приводов, обеспечивает надежность и безопасность работы.</w:t>
            </w:r>
          </w:p>
          <w:p w:rsidR="00C171F0" w:rsidRPr="00C171F0" w:rsidRDefault="00C171F0" w:rsidP="003C4343">
            <w:pPr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single" w:sz="4" w:space="0" w:color="D0D0D0"/>
                <w:left w:val="single" w:sz="4" w:space="0" w:color="D0D0D0"/>
                <w:bottom w:val="single" w:sz="4" w:space="0" w:color="D0D0D0"/>
                <w:right w:val="single" w:sz="4" w:space="0" w:color="D0D0D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8"/>
              <w:gridCol w:w="7180"/>
            </w:tblGrid>
            <w:tr w:rsidR="00C171F0" w:rsidRPr="00C171F0" w:rsidTr="00C171F0">
              <w:trPr>
                <w:tblHeader/>
              </w:trPr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E2E2E2"/>
                  <w:tcMar>
                    <w:top w:w="63" w:type="dxa"/>
                    <w:left w:w="125" w:type="dxa"/>
                    <w:bottom w:w="63" w:type="dxa"/>
                    <w:right w:w="125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aps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caps/>
                      <w:sz w:val="18"/>
                      <w:szCs w:val="18"/>
                    </w:rPr>
                    <w:t>КОМПОНЕНТ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E2E2E2"/>
                  <w:tcMar>
                    <w:top w:w="63" w:type="dxa"/>
                    <w:left w:w="125" w:type="dxa"/>
                    <w:bottom w:w="63" w:type="dxa"/>
                    <w:right w:w="125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aps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caps/>
                      <w:sz w:val="18"/>
                      <w:szCs w:val="18"/>
                    </w:rPr>
                    <w:t>ХАРАКТЕРИСТИКА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Напряжение питания и диапазон мощностей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380+-10%, 3 фазы, 5,5 кВт — 600 кВт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Частота электропитания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50/60 Гц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Применяемые электродвигатели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proofErr w:type="gramStart"/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трехфазные</w:t>
                  </w:r>
                  <w:proofErr w:type="gramEnd"/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 xml:space="preserve"> асинхронные с короткозамкнутым ротором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Частота пусков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не более 20 раз в час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Пусковое напряжение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30-70%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Ограничение пускового тока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50-500%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Время пуска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2-60 с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Время останова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0- 60 с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proofErr w:type="gramStart"/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Максимальные</w:t>
                  </w:r>
                  <w:proofErr w:type="gramEnd"/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 xml:space="preserve"> рабочий ток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50 — 200 %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Режимы пуска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режим ограничения тока, режим рампы по напряжению, запуск рывком в режиме ограничения тока, запуск рывком в режиме рампы по напряжению, режим рампы по току, режим двойного контура регулирования с ограничением тока напряжения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Режимы останова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режим плавного останова, режим свободного останова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Наличие шунтирующего контактора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отсутствует (необходимо использовать внешний контактор)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Релейные выходы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программируемый выход с задержкой, выход ошибки, управление шунтирующим контактором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Входы управления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пуск, стоп, аварийный стоп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Аналоговый выход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4…20 мА, мониторинг действующего тока двигателя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Обмен данными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поддержка стандартного протокола MODBUS RTU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Функции защиты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proofErr w:type="gramStart"/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защита от перегрева устройства плавного пуска, защита от обрыва входной фазы, защита от обрыва выходной фазы, защита от перекоса фаз, токовая защита при запуске, защита от перегрузки в процессе работы двигателя, защита от пониженного напряжения, защита от повышенного напряжения, защита от короткого замыкания нагрузки, защита от длительного пуска, защита от установки неверных параметров, защита от неверного подключения</w:t>
                  </w:r>
                  <w:proofErr w:type="gramEnd"/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Степень защиты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IP20: модели от 5.5 кВт до 75 кВт</w:t>
                  </w: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br/>
                    <w:t>IP00: модели от 90 кВт до 600 кВт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Внешние условия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proofErr w:type="gramStart"/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размещении</w:t>
                  </w:r>
                  <w:proofErr w:type="gramEnd"/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 xml:space="preserve"> на высоте до 1000 м. При размещении выше 1000 м — следует использовать устройство большей мощности. Температура окружающего воздуха — в интервале — 30…+50 </w:t>
                  </w: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С, влажность воздуха —  не более 90%, без конденсата. Размещение устройства — в помещении с хорошей вентиляцией, при отсутствии коррозийно-активных веществ и электропроводящей пыли. Вибрации не должны превышать 0.5G</w:t>
                  </w:r>
                </w:p>
              </w:tc>
            </w:tr>
            <w:tr w:rsidR="00C171F0" w:rsidRPr="00C171F0" w:rsidTr="00C171F0">
              <w:tc>
                <w:tcPr>
                  <w:tcW w:w="1831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Система охлаждения</w:t>
                  </w:r>
                </w:p>
              </w:tc>
              <w:tc>
                <w:tcPr>
                  <w:tcW w:w="3169" w:type="pct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C171F0" w:rsidRPr="00C171F0" w:rsidRDefault="00C171F0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</w:pPr>
                  <w:r w:rsidRPr="00C171F0">
                    <w:rPr>
                      <w:rFonts w:asciiTheme="majorHAnsi" w:eastAsia="Times New Roman" w:hAnsiTheme="majorHAnsi" w:cs="Times New Roman"/>
                      <w:sz w:val="18"/>
                      <w:szCs w:val="18"/>
                    </w:rPr>
                    <w:t>естественное охлаждение воздухом</w:t>
                  </w:r>
                </w:p>
              </w:tc>
            </w:tr>
          </w:tbl>
          <w:p w:rsidR="00C171F0" w:rsidRPr="003B737B" w:rsidRDefault="00C171F0" w:rsidP="003C43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43C7D" w:rsidRDefault="00D43C7D" w:rsidP="00D43C7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380437" w:rsidRPr="00382A9D" w:rsidRDefault="00380437" w:rsidP="003804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A9D">
        <w:rPr>
          <w:rFonts w:ascii="Times New Roman" w:hAnsi="Times New Roman" w:cs="Times New Roman"/>
          <w:i/>
          <w:sz w:val="28"/>
          <w:szCs w:val="28"/>
          <w:u w:val="single"/>
        </w:rPr>
        <w:t>Полная предпродажная проверка оборудования:</w:t>
      </w:r>
    </w:p>
    <w:p w:rsidR="00380437" w:rsidRPr="00382A9D" w:rsidRDefault="00380437" w:rsidP="003804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0437" w:rsidRPr="00DD4BB3" w:rsidRDefault="00380437" w:rsidP="00380437">
      <w:pPr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DD4BB3">
        <w:rPr>
          <w:rFonts w:ascii="Times New Roman" w:hAnsi="Times New Roman" w:cs="Times New Roman"/>
          <w:sz w:val="24"/>
          <w:szCs w:val="24"/>
        </w:rPr>
        <w:t>Испытательный запуск оборудования, с целью установления его соответствия предъявляемым техническим требованиям производится:</w:t>
      </w:r>
    </w:p>
    <w:p w:rsidR="00380437" w:rsidRPr="00DD4BB3" w:rsidRDefault="00380437" w:rsidP="0038043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D4BB3">
        <w:rPr>
          <w:rFonts w:ascii="Times New Roman" w:hAnsi="Times New Roman" w:cs="Times New Roman"/>
          <w:i/>
          <w:sz w:val="24"/>
          <w:szCs w:val="24"/>
        </w:rPr>
        <w:t>в присутствии</w:t>
      </w:r>
      <w:r w:rsidRPr="00DD4BB3">
        <w:rPr>
          <w:rFonts w:ascii="Times New Roman" w:hAnsi="Times New Roman" w:cs="Times New Roman"/>
          <w:sz w:val="24"/>
          <w:szCs w:val="24"/>
        </w:rPr>
        <w:t xml:space="preserve"> </w:t>
      </w:r>
      <w:r w:rsidRPr="00DD4BB3">
        <w:rPr>
          <w:rFonts w:ascii="Times New Roman" w:hAnsi="Times New Roman" w:cs="Times New Roman"/>
          <w:i/>
          <w:sz w:val="24"/>
          <w:szCs w:val="24"/>
        </w:rPr>
        <w:t>Покупателя</w:t>
      </w:r>
      <w:r w:rsidRPr="00DD4BB3">
        <w:rPr>
          <w:rFonts w:ascii="Times New Roman" w:hAnsi="Times New Roman" w:cs="Times New Roman"/>
          <w:sz w:val="24"/>
          <w:szCs w:val="24"/>
        </w:rPr>
        <w:t xml:space="preserve"> или уполномоченного лица на территории Продавца. Акт приема-передачи Оборудования подписывается представителями Сторон в 2-х экземплярах, из которых 1 экземпляр передается Покупателю и 2 экземпляр – Продавцу.</w:t>
      </w:r>
    </w:p>
    <w:p w:rsidR="00380437" w:rsidRPr="00DD4BB3" w:rsidRDefault="00380437" w:rsidP="0038043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D4BB3">
        <w:rPr>
          <w:rFonts w:ascii="Times New Roman" w:hAnsi="Times New Roman" w:cs="Times New Roman"/>
          <w:i/>
          <w:sz w:val="24"/>
          <w:szCs w:val="24"/>
        </w:rPr>
        <w:t>без присутствия</w:t>
      </w:r>
      <w:r w:rsidRPr="00DD4BB3">
        <w:rPr>
          <w:rFonts w:ascii="Times New Roman" w:hAnsi="Times New Roman" w:cs="Times New Roman"/>
          <w:sz w:val="24"/>
          <w:szCs w:val="24"/>
        </w:rPr>
        <w:t xml:space="preserve"> </w:t>
      </w:r>
      <w:r w:rsidRPr="00DD4BB3">
        <w:rPr>
          <w:rFonts w:ascii="Times New Roman" w:hAnsi="Times New Roman" w:cs="Times New Roman"/>
          <w:i/>
          <w:sz w:val="24"/>
          <w:szCs w:val="24"/>
        </w:rPr>
        <w:t>Покупателя</w:t>
      </w:r>
      <w:r w:rsidRPr="00DD4BB3">
        <w:rPr>
          <w:rFonts w:ascii="Times New Roman" w:hAnsi="Times New Roman" w:cs="Times New Roman"/>
          <w:sz w:val="24"/>
          <w:szCs w:val="24"/>
        </w:rPr>
        <w:t xml:space="preserve"> или уполномоченного лица. В данном случае Покупателю предоставляется видео и фото с подключением и запуском станка по электронной почте, что будет считаться актом приема-передачи оборудования. Акт приема-передачи Оборудования на бумажном носителе передается вместе с остальными документами при отгрузке в транспортную компанию и подписывается представителями Сторон в 2-х экземплярах, из которых 1 экземпляр передается Покупателю и 2 экземпляр – Продавцу.</w:t>
      </w:r>
    </w:p>
    <w:p w:rsidR="00DD4BB3" w:rsidRDefault="00DD4BB3" w:rsidP="001C1485">
      <w:pPr>
        <w:pStyle w:val="a9"/>
        <w:spacing w:after="0" w:line="240" w:lineRule="auto"/>
        <w:ind w:left="708"/>
        <w:jc w:val="center"/>
        <w:rPr>
          <w:rFonts w:ascii="Garamond" w:hAnsi="Garamond" w:cs="Times New Roman"/>
          <w:b/>
          <w:i/>
          <w:sz w:val="36"/>
          <w:szCs w:val="36"/>
          <w:shd w:val="clear" w:color="auto" w:fill="FFFFFF"/>
        </w:rPr>
      </w:pPr>
    </w:p>
    <w:p w:rsidR="00BB30EB" w:rsidRPr="00D43C7D" w:rsidRDefault="00CA084D" w:rsidP="001C1485">
      <w:pPr>
        <w:pStyle w:val="a9"/>
        <w:spacing w:after="0" w:line="240" w:lineRule="auto"/>
        <w:ind w:left="708"/>
        <w:jc w:val="center"/>
        <w:rPr>
          <w:rFonts w:ascii="Georgia" w:hAnsi="Georgia" w:cs="Times New Roman"/>
          <w:b/>
          <w:i/>
          <w:color w:val="002060"/>
          <w:sz w:val="36"/>
          <w:szCs w:val="36"/>
          <w:shd w:val="clear" w:color="auto" w:fill="FFFFFF"/>
        </w:rPr>
      </w:pPr>
      <w:r w:rsidRPr="00D43C7D">
        <w:rPr>
          <w:rFonts w:ascii="Georgia" w:hAnsi="Georgia" w:cs="Times New Roman"/>
          <w:b/>
          <w:i/>
          <w:color w:val="002060"/>
          <w:sz w:val="36"/>
          <w:szCs w:val="36"/>
          <w:shd w:val="clear" w:color="auto" w:fill="FFFFFF"/>
        </w:rPr>
        <w:lastRenderedPageBreak/>
        <w:t>ПРАЙС-ЛИСТ</w:t>
      </w:r>
    </w:p>
    <w:p w:rsidR="00DD4BB3" w:rsidRPr="00DC04D1" w:rsidRDefault="00DD4BB3" w:rsidP="001C1485">
      <w:pPr>
        <w:pStyle w:val="a9"/>
        <w:spacing w:after="0" w:line="240" w:lineRule="auto"/>
        <w:ind w:left="708"/>
        <w:jc w:val="center"/>
        <w:rPr>
          <w:rFonts w:ascii="Garamond" w:hAnsi="Garamond" w:cs="Times New Roman"/>
          <w:b/>
          <w:i/>
          <w:sz w:val="36"/>
          <w:szCs w:val="36"/>
          <w:shd w:val="clear" w:color="auto" w:fill="FFFFFF"/>
        </w:rPr>
      </w:pPr>
    </w:p>
    <w:tbl>
      <w:tblPr>
        <w:tblStyle w:val="a3"/>
        <w:tblW w:w="1128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4275"/>
        <w:gridCol w:w="1288"/>
        <w:gridCol w:w="1288"/>
        <w:gridCol w:w="1087"/>
        <w:gridCol w:w="1276"/>
        <w:gridCol w:w="2071"/>
      </w:tblGrid>
      <w:tr w:rsidR="004F11AF" w:rsidRPr="004F11AF" w:rsidTr="00D76836">
        <w:trPr>
          <w:tblCellSpacing w:w="20" w:type="dxa"/>
        </w:trPr>
        <w:tc>
          <w:tcPr>
            <w:tcW w:w="4215" w:type="dxa"/>
            <w:vAlign w:val="center"/>
          </w:tcPr>
          <w:p w:rsidR="001C1485" w:rsidRPr="00D43C7D" w:rsidRDefault="00DD4BB3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</w:t>
            </w:r>
            <w:r w:rsidR="00BB30EB"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родукция</w:t>
            </w:r>
          </w:p>
        </w:tc>
        <w:tc>
          <w:tcPr>
            <w:tcW w:w="1248" w:type="dxa"/>
            <w:vAlign w:val="center"/>
          </w:tcPr>
          <w:p w:rsidR="001C1485" w:rsidRPr="00D43C7D" w:rsidRDefault="001C1485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наличный расчет</w:t>
            </w:r>
          </w:p>
        </w:tc>
        <w:tc>
          <w:tcPr>
            <w:tcW w:w="1248" w:type="dxa"/>
            <w:vAlign w:val="center"/>
          </w:tcPr>
          <w:p w:rsidR="001C1485" w:rsidRPr="00D43C7D" w:rsidRDefault="001C1485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безналичный расчет</w:t>
            </w:r>
          </w:p>
        </w:tc>
        <w:tc>
          <w:tcPr>
            <w:tcW w:w="1047" w:type="dxa"/>
            <w:vAlign w:val="center"/>
          </w:tcPr>
          <w:p w:rsidR="001C1485" w:rsidRPr="00D43C7D" w:rsidRDefault="00DD4BB3" w:rsidP="00A5015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</w:t>
            </w:r>
            <w:r w:rsidR="001C1485"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редо</w:t>
            </w:r>
            <w:r w:rsidR="00A5015F"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</w:t>
            </w:r>
            <w:r w:rsidR="001C1485"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плата</w:t>
            </w:r>
            <w:proofErr w:type="spellEnd"/>
            <w:proofErr w:type="gramEnd"/>
          </w:p>
        </w:tc>
        <w:tc>
          <w:tcPr>
            <w:tcW w:w="1236" w:type="dxa"/>
            <w:vAlign w:val="center"/>
          </w:tcPr>
          <w:p w:rsidR="001C1485" w:rsidRPr="00D43C7D" w:rsidRDefault="001C1485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2011" w:type="dxa"/>
            <w:vAlign w:val="center"/>
          </w:tcPr>
          <w:p w:rsidR="001C1485" w:rsidRPr="00D43C7D" w:rsidRDefault="001C1485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  <w:t>срок поставки</w:t>
            </w:r>
          </w:p>
        </w:tc>
      </w:tr>
      <w:tr w:rsidR="00DD4BB3" w:rsidRPr="004F11AF" w:rsidTr="00DD4BB3">
        <w:trPr>
          <w:trHeight w:val="577"/>
          <w:tblCellSpacing w:w="20" w:type="dxa"/>
        </w:trPr>
        <w:tc>
          <w:tcPr>
            <w:tcW w:w="11205" w:type="dxa"/>
            <w:gridSpan w:val="6"/>
            <w:vAlign w:val="center"/>
          </w:tcPr>
          <w:p w:rsidR="00DD4BB3" w:rsidRPr="00D43C7D" w:rsidRDefault="00DD4BB3" w:rsidP="00793652">
            <w:pPr>
              <w:pStyle w:val="a9"/>
              <w:ind w:left="0"/>
              <w:jc w:val="center"/>
              <w:rPr>
                <w:rFonts w:ascii="Georgia" w:hAnsi="Georgia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Georgia" w:hAnsi="Georgia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  <w:t>ОБОРУДОВАНИЕ</w:t>
            </w:r>
          </w:p>
        </w:tc>
      </w:tr>
      <w:tr w:rsidR="00436977" w:rsidRPr="004F11AF" w:rsidTr="00C171F0">
        <w:trPr>
          <w:trHeight w:val="577"/>
          <w:tblCellSpacing w:w="20" w:type="dxa"/>
        </w:trPr>
        <w:tc>
          <w:tcPr>
            <w:tcW w:w="4215" w:type="dxa"/>
            <w:vAlign w:val="center"/>
          </w:tcPr>
          <w:p w:rsidR="00436977" w:rsidRPr="00436977" w:rsidRDefault="00436977" w:rsidP="00C171F0">
            <w:pPr>
              <w:pStyle w:val="a9"/>
              <w:ind w:left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агломератор «УНИВЕРСАЛ 200ПА» 55кВт</w:t>
            </w:r>
          </w:p>
        </w:tc>
        <w:tc>
          <w:tcPr>
            <w:tcW w:w="1248" w:type="dxa"/>
            <w:vAlign w:val="center"/>
          </w:tcPr>
          <w:p w:rsidR="00436977" w:rsidRPr="00C460FC" w:rsidRDefault="00C171F0" w:rsidP="00436977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color w:val="23099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436977" w:rsidRPr="00C460FC"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C171F0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color w:val="230991"/>
                <w:sz w:val="20"/>
                <w:szCs w:val="20"/>
                <w:shd w:val="clear" w:color="auto" w:fill="FFFFFF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71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B958C6" w:rsidRDefault="00C171F0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6977" w:rsidRPr="00B958C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36" w:type="dxa"/>
            <w:vAlign w:val="center"/>
          </w:tcPr>
          <w:p w:rsidR="00436977" w:rsidRPr="00DC04D1" w:rsidRDefault="00436977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Pr="007C1402" w:rsidRDefault="00436977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436977" w:rsidRPr="004F11AF" w:rsidTr="00D76836">
        <w:trPr>
          <w:trHeight w:val="578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C171F0">
            <w:pPr>
              <w:pStyle w:val="a9"/>
              <w:ind w:left="0"/>
              <w:rPr>
                <w:rFonts w:ascii="Times New Roman" w:hAnsi="Times New Roman" w:cs="Times New Roman"/>
                <w:i/>
                <w:color w:val="230991"/>
                <w:sz w:val="20"/>
                <w:szCs w:val="20"/>
                <w:shd w:val="clear" w:color="auto" w:fill="FFFFFF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агломератор «УНИВЕРСАЛ 300ПА» 75кВт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C171F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171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250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250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047" w:type="dxa"/>
            <w:vAlign w:val="center"/>
          </w:tcPr>
          <w:p w:rsidR="00436977" w:rsidRDefault="00436977" w:rsidP="008148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58C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36" w:type="dxa"/>
            <w:vAlign w:val="center"/>
          </w:tcPr>
          <w:p w:rsidR="00436977" w:rsidRPr="00DC04D1" w:rsidRDefault="00436977" w:rsidP="00814854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Pr="00436977" w:rsidRDefault="00436977" w:rsidP="00DC04D1">
            <w:pPr>
              <w:pStyle w:val="a9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36977" w:rsidRPr="004F11AF" w:rsidTr="00D76836">
        <w:trPr>
          <w:trHeight w:val="578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C171F0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 xml:space="preserve">агломератор «УНИВЕРСАЛ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00ПА» 90кВт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C171F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71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248" w:type="dxa"/>
            <w:vAlign w:val="center"/>
          </w:tcPr>
          <w:p w:rsidR="00436977" w:rsidRDefault="00042501" w:rsidP="0004250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="00436977"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047" w:type="dxa"/>
            <w:vAlign w:val="center"/>
          </w:tcPr>
          <w:p w:rsidR="00436977" w:rsidRPr="00277BC1" w:rsidRDefault="00436977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77BC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36" w:type="dxa"/>
            <w:vAlign w:val="center"/>
          </w:tcPr>
          <w:p w:rsidR="00436977" w:rsidRPr="00277BC1" w:rsidRDefault="00436977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7B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 заказ</w:t>
            </w:r>
          </w:p>
        </w:tc>
        <w:tc>
          <w:tcPr>
            <w:tcW w:w="2011" w:type="dxa"/>
            <w:vAlign w:val="center"/>
          </w:tcPr>
          <w:p w:rsidR="00436977" w:rsidRPr="00DF5C7B" w:rsidRDefault="00436977" w:rsidP="003131AC">
            <w:pPr>
              <w:pStyle w:val="a9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DD4BB3" w:rsidRPr="004F11AF" w:rsidTr="00DD4BB3">
        <w:trPr>
          <w:trHeight w:val="578"/>
          <w:tblCellSpacing w:w="20" w:type="dxa"/>
        </w:trPr>
        <w:tc>
          <w:tcPr>
            <w:tcW w:w="11205" w:type="dxa"/>
            <w:gridSpan w:val="6"/>
            <w:vAlign w:val="center"/>
          </w:tcPr>
          <w:p w:rsidR="00DD4BB3" w:rsidRPr="00D43C7D" w:rsidRDefault="00DD4BB3" w:rsidP="00DD4BB3">
            <w:pPr>
              <w:jc w:val="center"/>
              <w:rPr>
                <w:rFonts w:ascii="Georgia" w:hAnsi="Georgia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Georgia" w:hAnsi="Georgia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  <w:t>КОМПЛЕКТУЮЩИЕ</w:t>
            </w:r>
          </w:p>
        </w:tc>
      </w:tr>
      <w:tr w:rsidR="00436977" w:rsidRPr="004F11AF" w:rsidTr="00D76836">
        <w:trPr>
          <w:trHeight w:val="325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ножей на агломератор 55кВт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8 500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9 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9365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Pr="007F14F4" w:rsidRDefault="00436977" w:rsidP="0079365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15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ножей на агломератор 75кВт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12 000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ножей на агломератор 90кВт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14 000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станин на агломератор 55кВт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станин на агломератор 75кВт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 xml:space="preserve"> 000=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станин на агломератор 90кВт</w:t>
            </w:r>
          </w:p>
        </w:tc>
        <w:tc>
          <w:tcPr>
            <w:tcW w:w="1248" w:type="dxa"/>
            <w:vAlign w:val="center"/>
          </w:tcPr>
          <w:p w:rsidR="00436977" w:rsidRPr="00F754EE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4EE">
              <w:rPr>
                <w:rFonts w:ascii="Times New Roman" w:hAnsi="Times New Roman" w:cs="Times New Roman"/>
                <w:sz w:val="20"/>
                <w:szCs w:val="20"/>
              </w:rPr>
              <w:t>20 000 =</w:t>
            </w:r>
          </w:p>
        </w:tc>
        <w:tc>
          <w:tcPr>
            <w:tcW w:w="1248" w:type="dxa"/>
            <w:vAlign w:val="center"/>
          </w:tcPr>
          <w:p w:rsidR="00436977" w:rsidRPr="00F754EE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4EE">
              <w:rPr>
                <w:rFonts w:ascii="Times New Roman" w:hAnsi="Times New Roman" w:cs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54EE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доставка </w:t>
            </w:r>
            <w:r w:rsidRPr="00D76836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977" w:rsidRPr="00C460FC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транспортной компании</w:t>
            </w:r>
          </w:p>
        </w:tc>
        <w:tc>
          <w:tcPr>
            <w:tcW w:w="1248" w:type="dxa"/>
            <w:vAlign w:val="center"/>
          </w:tcPr>
          <w:p w:rsidR="00436977" w:rsidRPr="00F754EE" w:rsidRDefault="00436977" w:rsidP="00CE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=</w:t>
            </w:r>
          </w:p>
        </w:tc>
        <w:tc>
          <w:tcPr>
            <w:tcW w:w="1248" w:type="dxa"/>
            <w:vAlign w:val="center"/>
          </w:tcPr>
          <w:p w:rsidR="00436977" w:rsidRPr="00F754EE" w:rsidRDefault="00436977" w:rsidP="00CE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 =</w:t>
            </w:r>
          </w:p>
        </w:tc>
        <w:tc>
          <w:tcPr>
            <w:tcW w:w="1047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F754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D43C7D" w:rsidRDefault="00D43C7D" w:rsidP="00D43C7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43C7D" w:rsidRPr="00DD4BB3" w:rsidRDefault="00D43C7D" w:rsidP="00D43C7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D4BB3">
        <w:rPr>
          <w:rFonts w:ascii="Times New Roman" w:hAnsi="Times New Roman" w:cs="Times New Roman"/>
          <w:sz w:val="24"/>
          <w:szCs w:val="24"/>
        </w:rPr>
        <w:t xml:space="preserve">Работаем без НДС (УСНО), именно поэтому </w:t>
      </w:r>
      <w:r w:rsidRPr="00DD4BB3">
        <w:rPr>
          <w:rFonts w:ascii="Times New Roman" w:hAnsi="Times New Roman" w:cs="Times New Roman"/>
          <w:i/>
          <w:sz w:val="24"/>
          <w:szCs w:val="24"/>
        </w:rPr>
        <w:t xml:space="preserve">цены </w:t>
      </w:r>
      <w:proofErr w:type="gramStart"/>
      <w:r w:rsidRPr="00DD4BB3">
        <w:rPr>
          <w:rFonts w:ascii="Times New Roman" w:hAnsi="Times New Roman" w:cs="Times New Roman"/>
          <w:i/>
          <w:sz w:val="24"/>
          <w:szCs w:val="24"/>
        </w:rPr>
        <w:t>ниже</w:t>
      </w:r>
      <w:proofErr w:type="gramEnd"/>
      <w:r w:rsidRPr="00DD4BB3">
        <w:rPr>
          <w:rFonts w:ascii="Times New Roman" w:hAnsi="Times New Roman" w:cs="Times New Roman"/>
          <w:i/>
          <w:sz w:val="24"/>
          <w:szCs w:val="24"/>
        </w:rPr>
        <w:t xml:space="preserve"> чем у конкурентов</w:t>
      </w:r>
      <w:r w:rsidRPr="00DD4BB3">
        <w:rPr>
          <w:rFonts w:ascii="Times New Roman" w:hAnsi="Times New Roman" w:cs="Times New Roman"/>
          <w:sz w:val="24"/>
          <w:szCs w:val="24"/>
        </w:rPr>
        <w:t>, работающих с НДС</w:t>
      </w:r>
    </w:p>
    <w:p w:rsidR="00DD4BB3" w:rsidRDefault="00DD4BB3" w:rsidP="00DD4B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7D" w:rsidRDefault="00D43C7D" w:rsidP="00D43C7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D4BB3" w:rsidRPr="00D43C7D" w:rsidRDefault="00DD4BB3" w:rsidP="00D43C7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43C7D">
        <w:rPr>
          <w:rFonts w:ascii="Times New Roman" w:hAnsi="Times New Roman" w:cs="Times New Roman"/>
          <w:sz w:val="24"/>
          <w:szCs w:val="24"/>
        </w:rPr>
        <w:t>ПРЕДОСТАВЛЯЕМ ТЕХ. ДОКУМЕНТАЦИЮ</w:t>
      </w:r>
    </w:p>
    <w:p w:rsidR="00DD4BB3" w:rsidRPr="00D43C7D" w:rsidRDefault="00DD4BB3" w:rsidP="00D43C7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43C7D">
        <w:rPr>
          <w:rFonts w:ascii="Times New Roman" w:hAnsi="Times New Roman" w:cs="Times New Roman"/>
          <w:sz w:val="24"/>
          <w:szCs w:val="24"/>
        </w:rPr>
        <w:t>ГАРАНТИЯ 1 ГОД</w:t>
      </w:r>
    </w:p>
    <w:p w:rsidR="00DD4BB3" w:rsidRPr="00D43C7D" w:rsidRDefault="00DD4BB3" w:rsidP="00D43C7D">
      <w:pPr>
        <w:spacing w:after="0" w:line="240" w:lineRule="auto"/>
        <w:ind w:firstLine="426"/>
        <w:jc w:val="center"/>
        <w:rPr>
          <w:rFonts w:ascii="Georgia" w:hAnsi="Georgia" w:cs="Times New Roman"/>
          <w:sz w:val="24"/>
          <w:szCs w:val="24"/>
        </w:rPr>
      </w:pPr>
      <w:r w:rsidRPr="00D43C7D">
        <w:rPr>
          <w:rFonts w:ascii="Times New Roman" w:hAnsi="Times New Roman" w:cs="Times New Roman"/>
          <w:sz w:val="24"/>
          <w:szCs w:val="24"/>
        </w:rPr>
        <w:t>ПОСТАВКА КОМПЕКТУЮЩИХ</w:t>
      </w:r>
    </w:p>
    <w:p w:rsidR="00DD4BB3" w:rsidRPr="00D43C7D" w:rsidRDefault="00DD4BB3" w:rsidP="00DD4B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4BB3" w:rsidRPr="00382A9D" w:rsidRDefault="00DD4BB3" w:rsidP="005F0D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FB6212" w:rsidRPr="00DD4BB3" w:rsidRDefault="00FB6212" w:rsidP="00DC04D1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DD4BB3">
        <w:rPr>
          <w:rFonts w:ascii="Times New Roman" w:hAnsi="Times New Roman" w:cs="Times New Roman"/>
        </w:rPr>
        <w:t>Доставка транспортными компаниями:</w:t>
      </w:r>
      <w:r w:rsidR="00824A54" w:rsidRPr="00DD4BB3">
        <w:rPr>
          <w:noProof/>
          <w:lang w:eastAsia="ru-RU"/>
        </w:rPr>
        <w:drawing>
          <wp:inline distT="0" distB="0" distL="0" distR="0">
            <wp:extent cx="937260" cy="3119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22" cy="31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A54" w:rsidRPr="00DD4BB3">
        <w:rPr>
          <w:noProof/>
          <w:lang w:eastAsia="ru-RU"/>
        </w:rPr>
        <w:drawing>
          <wp:inline distT="0" distB="0" distL="0" distR="0">
            <wp:extent cx="982980" cy="3120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1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9A1" w:rsidRPr="00DD4BB3">
        <w:rPr>
          <w:noProof/>
          <w:lang w:eastAsia="ru-RU"/>
        </w:rPr>
        <w:drawing>
          <wp:inline distT="0" distB="0" distL="0" distR="0">
            <wp:extent cx="1196340" cy="2427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2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4D1" w:rsidRPr="00DD4BB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908" cy="308321"/>
            <wp:effectExtent l="19050" t="0" r="6792" b="0"/>
            <wp:docPr id="3" name="Рисунок 2" descr="ener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y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36" cy="30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4D1" w:rsidRPr="00DD4BB3">
        <w:rPr>
          <w:rFonts w:ascii="Times New Roman" w:hAnsi="Times New Roman" w:cs="Times New Roman"/>
        </w:rPr>
        <w:t xml:space="preserve"> </w:t>
      </w:r>
      <w:r w:rsidR="00DC04D1" w:rsidRPr="00DD4BB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0564" cy="370564"/>
            <wp:effectExtent l="19050" t="0" r="0" b="0"/>
            <wp:docPr id="10" name="Рисунок 9" descr="93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9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94" cy="3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D07" w:rsidRPr="00DD4BB3" w:rsidRDefault="005F0D07" w:rsidP="00DC04D1">
      <w:pPr>
        <w:spacing w:after="0"/>
        <w:ind w:firstLine="142"/>
        <w:rPr>
          <w:rFonts w:ascii="Times New Roman" w:hAnsi="Times New Roman" w:cs="Times New Roman"/>
        </w:rPr>
      </w:pPr>
      <w:r w:rsidRPr="00DD4BB3">
        <w:rPr>
          <w:rFonts w:ascii="Times New Roman" w:hAnsi="Times New Roman" w:cs="Times New Roman"/>
        </w:rPr>
        <w:t>Отгрузка в течение 3-х рабочих дней после 100% оплаты</w:t>
      </w:r>
    </w:p>
    <w:p w:rsidR="00FB6212" w:rsidRDefault="00FB6212" w:rsidP="00380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C7D" w:rsidRDefault="00D43C7D" w:rsidP="00380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BB3" w:rsidRPr="00D43C7D" w:rsidRDefault="00DD4BB3" w:rsidP="00380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437" w:rsidRDefault="00D43C7D" w:rsidP="00531351">
      <w:pPr>
        <w:spacing w:after="0" w:line="240" w:lineRule="auto"/>
        <w:ind w:firstLine="708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***</w:t>
      </w:r>
      <w:r w:rsidR="00380437" w:rsidRPr="00D43C7D">
        <w:rPr>
          <w:rFonts w:ascii="Georgia" w:hAnsi="Georgia" w:cs="Times New Roman"/>
          <w:i/>
        </w:rPr>
        <w:t>Будем рады сотрудничеству с Вами!</w:t>
      </w:r>
      <w:r>
        <w:rPr>
          <w:rFonts w:ascii="Georgia" w:hAnsi="Georgia" w:cs="Times New Roman"/>
          <w:i/>
        </w:rPr>
        <w:t>***</w:t>
      </w:r>
    </w:p>
    <w:p w:rsidR="00D43C7D" w:rsidRPr="00D43C7D" w:rsidRDefault="00D43C7D" w:rsidP="00531351">
      <w:pPr>
        <w:spacing w:after="0" w:line="240" w:lineRule="auto"/>
        <w:ind w:firstLine="708"/>
        <w:jc w:val="center"/>
        <w:rPr>
          <w:rFonts w:ascii="Georgia" w:hAnsi="Georgia" w:cs="Times New Roman"/>
          <w:i/>
        </w:rPr>
      </w:pPr>
    </w:p>
    <w:p w:rsidR="00D43C7D" w:rsidRPr="00D43C7D" w:rsidRDefault="00D43C7D" w:rsidP="00531351">
      <w:pPr>
        <w:spacing w:after="0" w:line="240" w:lineRule="auto"/>
        <w:ind w:firstLine="708"/>
        <w:jc w:val="center"/>
        <w:rPr>
          <w:rFonts w:ascii="Georgia" w:hAnsi="Georgia" w:cs="Times New Roman"/>
          <w:i/>
        </w:rPr>
      </w:pPr>
    </w:p>
    <w:p w:rsidR="007245C4" w:rsidRPr="00D43C7D" w:rsidRDefault="007245C4" w:rsidP="007245C4">
      <w:pPr>
        <w:spacing w:after="0" w:line="240" w:lineRule="auto"/>
        <w:jc w:val="center"/>
        <w:rPr>
          <w:rFonts w:ascii="Georgia" w:hAnsi="Georgia" w:cs="Times New Roman"/>
          <w:i/>
        </w:rPr>
      </w:pPr>
      <w:r w:rsidRPr="00D43C7D">
        <w:rPr>
          <w:rFonts w:ascii="Georgia" w:hAnsi="Georgia" w:cs="Times New Roman"/>
          <w:i/>
        </w:rPr>
        <w:t>Дополнительные вопросы можете задать, написав на эл</w:t>
      </w:r>
      <w:proofErr w:type="gramStart"/>
      <w:r w:rsidRPr="00D43C7D">
        <w:rPr>
          <w:rFonts w:ascii="Georgia" w:hAnsi="Georgia" w:cs="Times New Roman"/>
          <w:i/>
        </w:rPr>
        <w:t>.п</w:t>
      </w:r>
      <w:proofErr w:type="gramEnd"/>
      <w:r w:rsidRPr="00D43C7D">
        <w:rPr>
          <w:rFonts w:ascii="Georgia" w:hAnsi="Georgia" w:cs="Times New Roman"/>
          <w:i/>
        </w:rPr>
        <w:t xml:space="preserve">очту </w:t>
      </w:r>
      <w:hyperlink r:id="rId18" w:history="1"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e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</w:rPr>
          <w:t>.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m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</w:rPr>
          <w:t>.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polimer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</w:rPr>
          <w:t>40@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mail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</w:rPr>
          <w:t>.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ru</w:t>
        </w:r>
      </w:hyperlink>
    </w:p>
    <w:p w:rsidR="007245C4" w:rsidRPr="00D43C7D" w:rsidRDefault="007245C4" w:rsidP="00B94D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43C7D">
        <w:rPr>
          <w:rFonts w:ascii="Georgia" w:hAnsi="Georgia" w:cs="Times New Roman"/>
          <w:i/>
        </w:rPr>
        <w:t xml:space="preserve">либо позвонив по телефону </w:t>
      </w:r>
      <w:r w:rsidR="00D43C7D">
        <w:rPr>
          <w:rFonts w:ascii="Georgia" w:hAnsi="Georgia" w:cs="Times New Roman"/>
          <w:i/>
        </w:rPr>
        <w:t xml:space="preserve"> </w:t>
      </w:r>
      <w:r w:rsidRPr="00D43C7D">
        <w:rPr>
          <w:rFonts w:ascii="MS Mincho" w:eastAsia="MS Mincho" w:hAnsi="MS Mincho" w:cs="MS Mincho" w:hint="eastAsia"/>
        </w:rPr>
        <w:t>☎</w:t>
      </w:r>
      <w:r w:rsidR="00D43C7D" w:rsidRPr="00D43C7D">
        <w:rPr>
          <w:rFonts w:ascii="Georgia" w:eastAsia="MS Mincho" w:hAnsi="Georgia" w:cs="MS Mincho"/>
          <w:b/>
          <w:i/>
          <w:color w:val="002060"/>
        </w:rPr>
        <w:t>+7</w:t>
      </w:r>
      <w:r w:rsidRPr="00D43C7D">
        <w:rPr>
          <w:rFonts w:ascii="Georgia" w:hAnsi="Georgia" w:cs="Times New Roman"/>
          <w:b/>
          <w:i/>
          <w:color w:val="002060"/>
        </w:rPr>
        <w:t xml:space="preserve"> (920) 618-82-13</w:t>
      </w:r>
      <w:r w:rsidRPr="00D43C7D">
        <w:rPr>
          <w:rFonts w:ascii="Georgia" w:hAnsi="Georgia" w:cs="Times New Roman"/>
          <w:i/>
        </w:rPr>
        <w:t>, г. Калуга</w:t>
      </w:r>
    </w:p>
    <w:sectPr w:rsidR="007245C4" w:rsidRPr="00D43C7D" w:rsidSect="00382A9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8D5"/>
    <w:multiLevelType w:val="hybridMultilevel"/>
    <w:tmpl w:val="976A43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58F7"/>
    <w:multiLevelType w:val="hybridMultilevel"/>
    <w:tmpl w:val="3DC63A68"/>
    <w:lvl w:ilvl="0" w:tplc="F4945E3A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FD675F"/>
    <w:multiLevelType w:val="hybridMultilevel"/>
    <w:tmpl w:val="FA0899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D32F26"/>
    <w:multiLevelType w:val="hybridMultilevel"/>
    <w:tmpl w:val="4AC60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E6B99"/>
    <w:multiLevelType w:val="hybridMultilevel"/>
    <w:tmpl w:val="3B98B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2B72"/>
    <w:multiLevelType w:val="hybridMultilevel"/>
    <w:tmpl w:val="12DC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A13E1"/>
    <w:multiLevelType w:val="hybridMultilevel"/>
    <w:tmpl w:val="972632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0F5"/>
    <w:rsid w:val="00042501"/>
    <w:rsid w:val="00044DE2"/>
    <w:rsid w:val="00045F30"/>
    <w:rsid w:val="00061597"/>
    <w:rsid w:val="00066CB2"/>
    <w:rsid w:val="00095B8E"/>
    <w:rsid w:val="000C2217"/>
    <w:rsid w:val="000E69F7"/>
    <w:rsid w:val="00112BE3"/>
    <w:rsid w:val="001132BD"/>
    <w:rsid w:val="00125943"/>
    <w:rsid w:val="00184739"/>
    <w:rsid w:val="001A7147"/>
    <w:rsid w:val="001C1485"/>
    <w:rsid w:val="001E03DE"/>
    <w:rsid w:val="001F5293"/>
    <w:rsid w:val="001F64FF"/>
    <w:rsid w:val="00207026"/>
    <w:rsid w:val="00236E5F"/>
    <w:rsid w:val="00260068"/>
    <w:rsid w:val="00277BC1"/>
    <w:rsid w:val="002910C3"/>
    <w:rsid w:val="002B22EA"/>
    <w:rsid w:val="002B3568"/>
    <w:rsid w:val="002D0BF1"/>
    <w:rsid w:val="002D0F23"/>
    <w:rsid w:val="00310EA2"/>
    <w:rsid w:val="00325947"/>
    <w:rsid w:val="00345D41"/>
    <w:rsid w:val="003553E6"/>
    <w:rsid w:val="00380437"/>
    <w:rsid w:val="00382A9D"/>
    <w:rsid w:val="00392116"/>
    <w:rsid w:val="003B63C3"/>
    <w:rsid w:val="003C2625"/>
    <w:rsid w:val="00436977"/>
    <w:rsid w:val="0045439E"/>
    <w:rsid w:val="0047747E"/>
    <w:rsid w:val="004A54E4"/>
    <w:rsid w:val="004C4BDE"/>
    <w:rsid w:val="004E2330"/>
    <w:rsid w:val="004F11AF"/>
    <w:rsid w:val="00507FB2"/>
    <w:rsid w:val="0051356A"/>
    <w:rsid w:val="00514E62"/>
    <w:rsid w:val="005233C7"/>
    <w:rsid w:val="00531351"/>
    <w:rsid w:val="00547EDF"/>
    <w:rsid w:val="005678D3"/>
    <w:rsid w:val="00576DB0"/>
    <w:rsid w:val="00590257"/>
    <w:rsid w:val="005A017D"/>
    <w:rsid w:val="005A14DC"/>
    <w:rsid w:val="005C6B12"/>
    <w:rsid w:val="005E7100"/>
    <w:rsid w:val="005F0D07"/>
    <w:rsid w:val="00626515"/>
    <w:rsid w:val="00694F1E"/>
    <w:rsid w:val="006A16E2"/>
    <w:rsid w:val="006C6172"/>
    <w:rsid w:val="006F0F4C"/>
    <w:rsid w:val="006F59FA"/>
    <w:rsid w:val="007245C4"/>
    <w:rsid w:val="007271CE"/>
    <w:rsid w:val="00787D34"/>
    <w:rsid w:val="00793652"/>
    <w:rsid w:val="007A52CA"/>
    <w:rsid w:val="007B7091"/>
    <w:rsid w:val="007C1402"/>
    <w:rsid w:val="007C61B4"/>
    <w:rsid w:val="007E39D3"/>
    <w:rsid w:val="007E4F81"/>
    <w:rsid w:val="007F14F4"/>
    <w:rsid w:val="00802D19"/>
    <w:rsid w:val="0080411F"/>
    <w:rsid w:val="0080527B"/>
    <w:rsid w:val="008179D6"/>
    <w:rsid w:val="008228B4"/>
    <w:rsid w:val="00824A54"/>
    <w:rsid w:val="00834094"/>
    <w:rsid w:val="00852478"/>
    <w:rsid w:val="0086738A"/>
    <w:rsid w:val="00876869"/>
    <w:rsid w:val="0087764F"/>
    <w:rsid w:val="00895611"/>
    <w:rsid w:val="008C21E3"/>
    <w:rsid w:val="008E4EE7"/>
    <w:rsid w:val="008F0723"/>
    <w:rsid w:val="00930197"/>
    <w:rsid w:val="009337D7"/>
    <w:rsid w:val="00940507"/>
    <w:rsid w:val="00981691"/>
    <w:rsid w:val="009935AE"/>
    <w:rsid w:val="009A2DA9"/>
    <w:rsid w:val="009A7832"/>
    <w:rsid w:val="009C03E5"/>
    <w:rsid w:val="009D3CA8"/>
    <w:rsid w:val="009D67F2"/>
    <w:rsid w:val="009E0AB3"/>
    <w:rsid w:val="009E65C3"/>
    <w:rsid w:val="009F4F75"/>
    <w:rsid w:val="00A03D6C"/>
    <w:rsid w:val="00A069A1"/>
    <w:rsid w:val="00A34CCB"/>
    <w:rsid w:val="00A4370A"/>
    <w:rsid w:val="00A5015F"/>
    <w:rsid w:val="00A80164"/>
    <w:rsid w:val="00A86B74"/>
    <w:rsid w:val="00A97776"/>
    <w:rsid w:val="00AF4671"/>
    <w:rsid w:val="00B11476"/>
    <w:rsid w:val="00B16A00"/>
    <w:rsid w:val="00B2605E"/>
    <w:rsid w:val="00B3215A"/>
    <w:rsid w:val="00B57C18"/>
    <w:rsid w:val="00B651EC"/>
    <w:rsid w:val="00B92888"/>
    <w:rsid w:val="00B94D60"/>
    <w:rsid w:val="00B958C6"/>
    <w:rsid w:val="00BB30EB"/>
    <w:rsid w:val="00BC1EC1"/>
    <w:rsid w:val="00BC49F6"/>
    <w:rsid w:val="00BE6797"/>
    <w:rsid w:val="00C171F0"/>
    <w:rsid w:val="00C2332C"/>
    <w:rsid w:val="00C408E0"/>
    <w:rsid w:val="00C45BF2"/>
    <w:rsid w:val="00C460FC"/>
    <w:rsid w:val="00C61C3A"/>
    <w:rsid w:val="00C7699B"/>
    <w:rsid w:val="00C82533"/>
    <w:rsid w:val="00CA084D"/>
    <w:rsid w:val="00CA1721"/>
    <w:rsid w:val="00CD10A6"/>
    <w:rsid w:val="00CE18B7"/>
    <w:rsid w:val="00CE20F6"/>
    <w:rsid w:val="00D13AD2"/>
    <w:rsid w:val="00D179B3"/>
    <w:rsid w:val="00D31417"/>
    <w:rsid w:val="00D31B55"/>
    <w:rsid w:val="00D43C7D"/>
    <w:rsid w:val="00D450BA"/>
    <w:rsid w:val="00D54F0F"/>
    <w:rsid w:val="00D76836"/>
    <w:rsid w:val="00D90357"/>
    <w:rsid w:val="00DB4955"/>
    <w:rsid w:val="00DC04D1"/>
    <w:rsid w:val="00DC5448"/>
    <w:rsid w:val="00DC5A7F"/>
    <w:rsid w:val="00DD4BB3"/>
    <w:rsid w:val="00DE70F5"/>
    <w:rsid w:val="00DF5C7B"/>
    <w:rsid w:val="00E005C1"/>
    <w:rsid w:val="00E01F3A"/>
    <w:rsid w:val="00E22C1C"/>
    <w:rsid w:val="00E275F7"/>
    <w:rsid w:val="00E41B51"/>
    <w:rsid w:val="00E64230"/>
    <w:rsid w:val="00EA0DF3"/>
    <w:rsid w:val="00EC5258"/>
    <w:rsid w:val="00ED1394"/>
    <w:rsid w:val="00EE0700"/>
    <w:rsid w:val="00EE58EF"/>
    <w:rsid w:val="00EF688F"/>
    <w:rsid w:val="00F402F2"/>
    <w:rsid w:val="00F5215C"/>
    <w:rsid w:val="00F60D80"/>
    <w:rsid w:val="00F754EE"/>
    <w:rsid w:val="00F91F52"/>
    <w:rsid w:val="00FB6212"/>
    <w:rsid w:val="00FC066B"/>
    <w:rsid w:val="00FC730D"/>
    <w:rsid w:val="00FD6B52"/>
    <w:rsid w:val="00FD6B73"/>
    <w:rsid w:val="00F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62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1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C4BD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F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1B55"/>
    <w:pPr>
      <w:ind w:left="720"/>
      <w:contextualSpacing/>
    </w:pPr>
  </w:style>
  <w:style w:type="character" w:styleId="aa">
    <w:name w:val="Strong"/>
    <w:basedOn w:val="a0"/>
    <w:uiPriority w:val="22"/>
    <w:qFormat/>
    <w:rsid w:val="006A1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mailto:e.m.polimer4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uga.webprorab.com/ip-mankevich-a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.m.polimer40@mail.ru" TargetMode="External"/><Relationship Id="rId11" Type="http://schemas.openxmlformats.org/officeDocument/2006/relationships/hyperlink" Target="https://www.youtube.com/user/ekomirpolimer/video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156</cp:revision>
  <cp:lastPrinted>2018-09-05T13:18:00Z</cp:lastPrinted>
  <dcterms:created xsi:type="dcterms:W3CDTF">2017-02-09T07:29:00Z</dcterms:created>
  <dcterms:modified xsi:type="dcterms:W3CDTF">2019-12-05T13:33:00Z</dcterms:modified>
</cp:coreProperties>
</file>